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val="0"/>
        <w:overflowPunct w:val="0"/>
        <w:adjustRightInd/>
        <w:snapToGrid/>
        <w:spacing w:before="0" w:after="0" w:line="460" w:lineRule="exact"/>
        <w:ind w:left="0" w:leftChars="0" w:right="0" w:firstLine="0" w:firstLineChars="0"/>
        <w:jc w:val="center"/>
        <w:textAlignment w:val="auto"/>
        <w:outlineLvl w:val="9"/>
        <w:rPr>
          <w:rFonts w:hint="eastAsia"/>
          <w:b/>
          <w:bCs/>
          <w:sz w:val="28"/>
          <w:szCs w:val="28"/>
        </w:rPr>
      </w:pPr>
      <w:r>
        <w:rPr>
          <w:rFonts w:hint="eastAsia"/>
          <w:b/>
          <w:bCs/>
          <w:sz w:val="28"/>
          <w:szCs w:val="28"/>
        </w:rPr>
        <w:t>山西忠民路桥建养有限责任公司大交分公司大交沥青搅拌站项目</w:t>
      </w:r>
    </w:p>
    <w:p>
      <w:pPr>
        <w:widowControl w:val="0"/>
        <w:wordWrap w:val="0"/>
        <w:overflowPunct w:val="0"/>
        <w:adjustRightInd/>
        <w:snapToGrid/>
        <w:spacing w:before="0" w:after="0" w:line="460" w:lineRule="exact"/>
        <w:ind w:left="0" w:leftChars="0" w:right="0" w:firstLine="0" w:firstLineChars="0"/>
        <w:jc w:val="center"/>
        <w:textAlignment w:val="auto"/>
        <w:outlineLvl w:val="9"/>
        <w:rPr>
          <w:rFonts w:hint="eastAsia"/>
          <w:b/>
          <w:bCs/>
          <w:sz w:val="28"/>
          <w:szCs w:val="28"/>
        </w:rPr>
      </w:pPr>
      <w:r>
        <w:rPr>
          <w:rFonts w:hint="eastAsia"/>
          <w:b/>
          <w:bCs/>
          <w:sz w:val="28"/>
          <w:szCs w:val="28"/>
        </w:rPr>
        <w:t>竣工环境保护验收意见</w:t>
      </w:r>
    </w:p>
    <w:p>
      <w:pPr>
        <w:widowControl w:val="0"/>
        <w:wordWrap w:val="0"/>
        <w:overflowPunct w:val="0"/>
        <w:adjustRightInd/>
        <w:snapToGrid/>
        <w:spacing w:before="0" w:after="0" w:line="460" w:lineRule="exact"/>
        <w:ind w:left="0" w:leftChars="0" w:right="0" w:firstLine="0" w:firstLineChars="0"/>
        <w:jc w:val="center"/>
        <w:textAlignment w:val="auto"/>
        <w:outlineLvl w:val="9"/>
        <w:rPr>
          <w:rFonts w:hint="eastAsia"/>
          <w:b/>
          <w:bCs/>
          <w:sz w:val="28"/>
          <w:szCs w:val="28"/>
        </w:rPr>
      </w:pPr>
    </w:p>
    <w:p>
      <w:pPr>
        <w:widowControl w:val="0"/>
        <w:adjustRightInd/>
        <w:snapToGrid/>
        <w:spacing w:before="0" w:after="0" w:line="420" w:lineRule="exact"/>
        <w:ind w:left="0" w:leftChars="0" w:right="0" w:firstLine="480" w:firstLineChars="200"/>
        <w:textAlignment w:val="auto"/>
        <w:outlineLvl w:val="9"/>
        <w:rPr>
          <w:sz w:val="24"/>
          <w:szCs w:val="24"/>
        </w:rPr>
      </w:pPr>
      <w:r>
        <w:rPr>
          <w:rFonts w:hint="eastAsia"/>
          <w:sz w:val="24"/>
          <w:szCs w:val="24"/>
        </w:rPr>
        <w:t>2018年1月</w:t>
      </w:r>
      <w:r>
        <w:rPr>
          <w:rFonts w:hint="eastAsia"/>
          <w:sz w:val="24"/>
          <w:szCs w:val="24"/>
          <w:lang w:val="en-US" w:eastAsia="zh-CN"/>
        </w:rPr>
        <w:t>11</w:t>
      </w:r>
      <w:r>
        <w:rPr>
          <w:rFonts w:hint="eastAsia"/>
          <w:sz w:val="24"/>
          <w:szCs w:val="24"/>
        </w:rPr>
        <w:t>日，山西忠民路桥建养有限责任公司大交分公司</w:t>
      </w:r>
      <w:r>
        <w:rPr>
          <w:rFonts w:hint="default" w:ascii="Times New Roman" w:hAnsi="Times New Roman" w:cs="Times New Roman"/>
          <w:sz w:val="24"/>
          <w:lang w:val="en-US" w:eastAsia="zh-CN"/>
        </w:rPr>
        <w:t>根据《建设项目竣工环境保护验收暂行办法》（国环规环评【2017】4号），严格依照国家有关法律法规、建设项目竣工环境保护验收技术规范、本项目《环境影响报告表》等要求</w:t>
      </w:r>
      <w:r>
        <w:rPr>
          <w:rFonts w:hint="eastAsia" w:cs="Times New Roman"/>
          <w:sz w:val="24"/>
          <w:lang w:val="en-US" w:eastAsia="zh-CN"/>
        </w:rPr>
        <w:t>，邀请专家</w:t>
      </w:r>
      <w:r>
        <w:rPr>
          <w:rFonts w:hint="default" w:ascii="Times New Roman" w:hAnsi="Times New Roman" w:cs="Times New Roman"/>
          <w:sz w:val="24"/>
          <w:lang w:val="en-US" w:eastAsia="zh-CN"/>
        </w:rPr>
        <w:t>对本项目进行验收，</w:t>
      </w:r>
      <w:r>
        <w:rPr>
          <w:rFonts w:hint="eastAsia" w:cs="Times New Roman"/>
          <w:sz w:val="24"/>
          <w:lang w:val="en-US" w:eastAsia="zh-CN"/>
        </w:rPr>
        <w:t>受邀参会的有平遥县环保局，经讨论，形成</w:t>
      </w:r>
      <w:r>
        <w:rPr>
          <w:rFonts w:hint="default" w:ascii="Times New Roman" w:hAnsi="Times New Roman" w:cs="Times New Roman"/>
          <w:sz w:val="24"/>
          <w:lang w:val="en-US" w:eastAsia="zh-CN"/>
        </w:rPr>
        <w:t>意见如下：</w:t>
      </w:r>
    </w:p>
    <w:p>
      <w:pPr>
        <w:widowControl w:val="0"/>
        <w:adjustRightInd/>
        <w:snapToGrid/>
        <w:spacing w:before="0" w:after="0" w:line="420" w:lineRule="exact"/>
        <w:ind w:left="0" w:leftChars="0" w:right="0" w:firstLine="480" w:firstLineChars="200"/>
        <w:textAlignment w:val="auto"/>
        <w:outlineLvl w:val="9"/>
        <w:rPr>
          <w:sz w:val="24"/>
          <w:szCs w:val="24"/>
        </w:rPr>
      </w:pPr>
      <w:bookmarkStart w:id="0" w:name="_Toc6064"/>
      <w:bookmarkStart w:id="1" w:name="_Toc3685"/>
      <w:bookmarkStart w:id="2" w:name="_Toc5663"/>
      <w:bookmarkStart w:id="3" w:name="_Toc22737"/>
      <w:r>
        <w:rPr>
          <w:rFonts w:hint="eastAsia"/>
          <w:sz w:val="24"/>
          <w:szCs w:val="24"/>
        </w:rPr>
        <w:t>一、基本情况</w:t>
      </w:r>
      <w:bookmarkEnd w:id="0"/>
      <w:bookmarkEnd w:id="1"/>
      <w:bookmarkEnd w:id="2"/>
      <w:bookmarkEnd w:id="3"/>
    </w:p>
    <w:p>
      <w:pPr>
        <w:widowControl w:val="0"/>
        <w:adjustRightInd/>
        <w:snapToGrid/>
        <w:spacing w:before="0" w:after="0" w:line="420" w:lineRule="exact"/>
        <w:ind w:left="0" w:leftChars="0" w:right="0" w:firstLine="480" w:firstLineChars="200"/>
        <w:textAlignment w:val="auto"/>
        <w:outlineLvl w:val="9"/>
        <w:rPr>
          <w:b w:val="0"/>
          <w:bCs w:val="0"/>
          <w:sz w:val="24"/>
          <w:szCs w:val="24"/>
        </w:rPr>
      </w:pPr>
      <w:r>
        <w:rPr>
          <w:rFonts w:hint="eastAsia"/>
          <w:b w:val="0"/>
          <w:bCs w:val="0"/>
          <w:sz w:val="24"/>
          <w:szCs w:val="24"/>
        </w:rPr>
        <w:t>山西忠民路桥建养有限责任公司大交分公司大交沥青搅拌站项目位于</w:t>
      </w:r>
      <w:r>
        <w:rPr>
          <w:rFonts w:hint="eastAsia"/>
          <w:b w:val="0"/>
          <w:bCs w:val="0"/>
          <w:sz w:val="24"/>
          <w:szCs w:val="24"/>
          <w:lang w:val="en-US" w:eastAsia="zh-CN"/>
        </w:rPr>
        <w:t>运城市绛县大交镇么头村东0.5公里处，</w:t>
      </w:r>
      <w:r>
        <w:rPr>
          <w:rFonts w:hint="eastAsia"/>
          <w:b w:val="0"/>
          <w:bCs w:val="0"/>
          <w:sz w:val="24"/>
          <w:szCs w:val="24"/>
        </w:rPr>
        <w:t>项目总</w:t>
      </w:r>
      <w:r>
        <w:rPr>
          <w:rFonts w:hint="eastAsia"/>
          <w:sz w:val="24"/>
          <w:szCs w:val="24"/>
        </w:rPr>
        <w:t>投资</w:t>
      </w:r>
      <w:r>
        <w:rPr>
          <w:rFonts w:hint="eastAsia"/>
          <w:sz w:val="24"/>
          <w:szCs w:val="24"/>
          <w:lang w:val="en-US" w:eastAsia="zh-CN"/>
        </w:rPr>
        <w:t>1000</w:t>
      </w:r>
      <w:r>
        <w:rPr>
          <w:rFonts w:hint="eastAsia"/>
          <w:sz w:val="24"/>
          <w:szCs w:val="24"/>
        </w:rPr>
        <w:t>万元，其中环保总投资</w:t>
      </w:r>
      <w:r>
        <w:rPr>
          <w:rFonts w:hint="eastAsia"/>
          <w:sz w:val="24"/>
          <w:szCs w:val="24"/>
          <w:lang w:val="en-US" w:eastAsia="zh-CN"/>
        </w:rPr>
        <w:t>80</w:t>
      </w:r>
      <w:r>
        <w:rPr>
          <w:rFonts w:hint="eastAsia"/>
          <w:sz w:val="24"/>
          <w:szCs w:val="24"/>
        </w:rPr>
        <w:t>万元，占总投资的</w:t>
      </w:r>
      <w:r>
        <w:rPr>
          <w:rFonts w:hint="eastAsia"/>
          <w:sz w:val="24"/>
          <w:szCs w:val="24"/>
          <w:lang w:val="en-US" w:eastAsia="zh-CN"/>
        </w:rPr>
        <w:t>8</w:t>
      </w:r>
      <w:r>
        <w:rPr>
          <w:sz w:val="24"/>
          <w:szCs w:val="24"/>
        </w:rPr>
        <w:t>%</w:t>
      </w:r>
      <w:r>
        <w:rPr>
          <w:rFonts w:hint="eastAsia"/>
          <w:sz w:val="24"/>
          <w:szCs w:val="24"/>
        </w:rPr>
        <w:t>。</w:t>
      </w:r>
      <w:r>
        <w:rPr>
          <w:rFonts w:hint="eastAsia"/>
          <w:b w:val="0"/>
          <w:bCs w:val="0"/>
          <w:sz w:val="24"/>
          <w:szCs w:val="24"/>
        </w:rPr>
        <w:t>201</w:t>
      </w:r>
      <w:r>
        <w:rPr>
          <w:rFonts w:hint="eastAsia"/>
          <w:b w:val="0"/>
          <w:bCs w:val="0"/>
          <w:sz w:val="24"/>
          <w:szCs w:val="24"/>
          <w:lang w:val="en-US" w:eastAsia="zh-CN"/>
        </w:rPr>
        <w:t>4</w:t>
      </w:r>
      <w:r>
        <w:rPr>
          <w:rFonts w:hint="eastAsia"/>
          <w:b w:val="0"/>
          <w:bCs w:val="0"/>
          <w:sz w:val="24"/>
          <w:szCs w:val="24"/>
        </w:rPr>
        <w:t>年</w:t>
      </w:r>
      <w:r>
        <w:rPr>
          <w:rFonts w:hint="eastAsia"/>
          <w:b w:val="0"/>
          <w:bCs w:val="0"/>
          <w:color w:val="auto"/>
          <w:sz w:val="24"/>
          <w:szCs w:val="24"/>
          <w:lang w:val="en-US" w:eastAsia="zh-CN"/>
        </w:rPr>
        <w:t>3</w:t>
      </w:r>
      <w:r>
        <w:rPr>
          <w:rFonts w:hint="eastAsia"/>
          <w:b w:val="0"/>
          <w:bCs w:val="0"/>
          <w:color w:val="auto"/>
          <w:sz w:val="24"/>
          <w:szCs w:val="24"/>
        </w:rPr>
        <w:t>月</w:t>
      </w:r>
      <w:r>
        <w:rPr>
          <w:rFonts w:hint="eastAsia"/>
          <w:b w:val="0"/>
          <w:bCs w:val="0"/>
          <w:sz w:val="24"/>
          <w:szCs w:val="24"/>
        </w:rPr>
        <w:t>山西忠民路桥建养有限责任公司大交分公司</w:t>
      </w:r>
      <w:r>
        <w:rPr>
          <w:b w:val="0"/>
          <w:bCs w:val="0"/>
          <w:sz w:val="24"/>
          <w:szCs w:val="24"/>
        </w:rPr>
        <w:t>委托</w:t>
      </w:r>
      <w:r>
        <w:rPr>
          <w:rFonts w:hint="eastAsia"/>
          <w:b w:val="0"/>
          <w:bCs w:val="0"/>
          <w:sz w:val="24"/>
          <w:szCs w:val="24"/>
        </w:rPr>
        <w:t>山西省煤炭规划设计院编制了“大交沥青搅拌站”</w:t>
      </w:r>
      <w:r>
        <w:rPr>
          <w:rFonts w:hint="eastAsia"/>
          <w:b w:val="0"/>
          <w:bCs w:val="0"/>
          <w:sz w:val="24"/>
          <w:szCs w:val="24"/>
          <w:lang w:eastAsia="zh-CN"/>
        </w:rPr>
        <w:t>环境影响</w:t>
      </w:r>
      <w:r>
        <w:rPr>
          <w:rFonts w:hint="eastAsia"/>
          <w:b w:val="0"/>
          <w:bCs w:val="0"/>
          <w:sz w:val="24"/>
          <w:szCs w:val="24"/>
        </w:rPr>
        <w:t>报告表，山西省绛县环境保护局以绛环函[2014]18号对该项目进行批复，以绛环函[2014]16号对该项目的污染物排放总量进行批复。</w:t>
      </w:r>
    </w:p>
    <w:p>
      <w:pPr>
        <w:pStyle w:val="5"/>
        <w:widowControl w:val="0"/>
        <w:tabs>
          <w:tab w:val="left" w:pos="8580"/>
        </w:tabs>
        <w:kinsoku w:val="0"/>
        <w:wordWrap/>
        <w:overflowPunct w:val="0"/>
        <w:autoSpaceDE w:val="0"/>
        <w:autoSpaceDN w:val="0"/>
        <w:adjustRightInd/>
        <w:snapToGrid/>
        <w:spacing w:before="0" w:after="0" w:line="420" w:lineRule="exact"/>
        <w:ind w:left="0" w:leftChars="0" w:right="0" w:firstLine="480" w:firstLineChars="200"/>
        <w:jc w:val="left"/>
        <w:textAlignment w:val="auto"/>
        <w:outlineLvl w:val="9"/>
        <w:rPr>
          <w:rFonts w:hint="default" w:ascii="Times New Roman" w:hAnsi="Times New Roman" w:eastAsia="宋体" w:cs="Times New Roman"/>
          <w:snapToGrid w:val="0"/>
          <w:sz w:val="24"/>
          <w:szCs w:val="24"/>
        </w:rPr>
      </w:pPr>
      <w:r>
        <w:rPr>
          <w:rFonts w:hint="eastAsia" w:ascii="Calibri" w:hAnsi="Calibri" w:eastAsia="宋体" w:cs="黑体"/>
          <w:b w:val="0"/>
          <w:bCs w:val="0"/>
          <w:kern w:val="2"/>
          <w:sz w:val="24"/>
          <w:szCs w:val="24"/>
          <w:lang w:val="en-US" w:eastAsia="zh-CN" w:bidi="ar-SA"/>
        </w:rPr>
        <w:t>项目于2013年1月开工建设，2017年1月竣工.，</w:t>
      </w:r>
      <w:r>
        <w:rPr>
          <w:rFonts w:hint="default" w:ascii="Calibri" w:hAnsi="Calibri" w:eastAsia="宋体" w:cs="黑体"/>
          <w:b w:val="0"/>
          <w:bCs w:val="0"/>
          <w:kern w:val="2"/>
          <w:sz w:val="24"/>
          <w:szCs w:val="24"/>
          <w:lang w:val="en-US" w:eastAsia="zh-CN" w:bidi="ar-SA"/>
        </w:rPr>
        <w:t>项目从施工起至今，没有环</w:t>
      </w:r>
      <w:r>
        <w:rPr>
          <w:rFonts w:hint="default" w:ascii="Times New Roman" w:hAnsi="Times New Roman" w:eastAsia="宋体" w:cs="Times New Roman"/>
          <w:snapToGrid w:val="0"/>
          <w:sz w:val="24"/>
          <w:szCs w:val="24"/>
        </w:rPr>
        <w:t>境投诉、违法情况，无处罚记录。</w:t>
      </w:r>
    </w:p>
    <w:p>
      <w:pPr>
        <w:widowControl w:val="0"/>
        <w:adjustRightInd/>
        <w:snapToGrid/>
        <w:spacing w:before="0" w:after="0" w:line="420" w:lineRule="exact"/>
        <w:ind w:left="0" w:leftChars="0" w:right="0" w:firstLine="480" w:firstLineChars="200"/>
        <w:textAlignment w:val="auto"/>
        <w:outlineLvl w:val="9"/>
        <w:rPr>
          <w:sz w:val="24"/>
          <w:szCs w:val="24"/>
        </w:rPr>
      </w:pPr>
      <w:r>
        <w:rPr>
          <w:rFonts w:hint="eastAsia"/>
          <w:sz w:val="24"/>
          <w:szCs w:val="24"/>
          <w:lang w:eastAsia="zh-CN"/>
        </w:rPr>
        <w:t>工程主要建设内容见表</w:t>
      </w:r>
      <w:r>
        <w:rPr>
          <w:rFonts w:hint="eastAsia"/>
          <w:sz w:val="24"/>
          <w:szCs w:val="24"/>
          <w:lang w:val="en-US" w:eastAsia="zh-CN"/>
        </w:rPr>
        <w:t>1。</w:t>
      </w:r>
    </w:p>
    <w:p>
      <w:pPr>
        <w:widowControl w:val="0"/>
        <w:wordWrap w:val="0"/>
        <w:overflowPunct w:val="0"/>
        <w:adjustRightInd/>
        <w:snapToGrid/>
        <w:spacing w:before="0" w:after="0" w:line="420" w:lineRule="exact"/>
        <w:ind w:left="0" w:leftChars="0" w:right="0" w:firstLine="0" w:firstLineChars="0"/>
        <w:jc w:val="center"/>
        <w:textAlignment w:val="auto"/>
        <w:outlineLvl w:val="9"/>
        <w:rPr>
          <w:rFonts w:hint="eastAsia"/>
          <w:b/>
          <w:color w:val="000000"/>
          <w:sz w:val="21"/>
          <w:szCs w:val="21"/>
        </w:rPr>
      </w:pPr>
      <w:r>
        <w:rPr>
          <w:rFonts w:hint="eastAsia" w:hAnsi="宋体"/>
          <w:bCs/>
          <w:color w:val="000000"/>
          <w:sz w:val="21"/>
          <w:szCs w:val="21"/>
          <w:lang w:eastAsia="zh-CN"/>
        </w:rPr>
        <w:t>表</w:t>
      </w:r>
      <w:r>
        <w:rPr>
          <w:rFonts w:hint="eastAsia" w:hAnsi="宋体"/>
          <w:bCs/>
          <w:color w:val="000000"/>
          <w:sz w:val="21"/>
          <w:szCs w:val="21"/>
          <w:lang w:val="en-US" w:eastAsia="zh-CN"/>
        </w:rPr>
        <w:t xml:space="preserve">1  </w:t>
      </w:r>
      <w:r>
        <w:rPr>
          <w:rFonts w:hint="eastAsia" w:hAnsi="宋体"/>
          <w:bCs/>
          <w:color w:val="000000"/>
          <w:sz w:val="21"/>
          <w:szCs w:val="21"/>
        </w:rPr>
        <w:t>工程主要建设内容</w:t>
      </w:r>
    </w:p>
    <w:tbl>
      <w:tblPr>
        <w:tblStyle w:val="10"/>
        <w:tblW w:w="8504" w:type="dxa"/>
        <w:jc w:val="center"/>
        <w:tblInd w:w="108"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623"/>
        <w:gridCol w:w="4770"/>
        <w:gridCol w:w="1411"/>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700" w:type="dxa"/>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ascii="宋体" w:hAnsi="宋体" w:cs="宋体"/>
                <w:sz w:val="21"/>
                <w:szCs w:val="21"/>
              </w:rPr>
            </w:pPr>
            <w:r>
              <w:rPr>
                <w:rFonts w:hint="eastAsia" w:ascii="宋体" w:hAnsi="宋体" w:cs="宋体"/>
                <w:sz w:val="21"/>
                <w:szCs w:val="21"/>
              </w:rPr>
              <w:t>类别</w:t>
            </w:r>
          </w:p>
        </w:tc>
        <w:tc>
          <w:tcPr>
            <w:tcW w:w="1623" w:type="dxa"/>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工程内容</w:t>
            </w:r>
          </w:p>
        </w:tc>
        <w:tc>
          <w:tcPr>
            <w:tcW w:w="4770" w:type="dxa"/>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主要建设内容及规模</w:t>
            </w:r>
          </w:p>
        </w:tc>
        <w:tc>
          <w:tcPr>
            <w:tcW w:w="1411" w:type="dxa"/>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实际情况</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700" w:type="dxa"/>
            <w:vMerge w:val="restart"/>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主体工程</w:t>
            </w: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沥青砼生产线</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both"/>
              <w:textAlignment w:val="auto"/>
              <w:outlineLvl w:val="9"/>
              <w:rPr>
                <w:rFonts w:hint="eastAsia"/>
                <w:sz w:val="21"/>
                <w:szCs w:val="21"/>
              </w:rPr>
            </w:pPr>
            <w:r>
              <w:rPr>
                <w:rFonts w:hint="eastAsia"/>
                <w:sz w:val="21"/>
                <w:szCs w:val="21"/>
              </w:rPr>
              <w:t>安装集装箱式沥青混合料搅拌设备，占地200m</w:t>
            </w:r>
            <w:r>
              <w:rPr>
                <w:rFonts w:hint="eastAsia"/>
                <w:sz w:val="21"/>
                <w:szCs w:val="21"/>
                <w:vertAlign w:val="superscript"/>
              </w:rPr>
              <w:t>2</w:t>
            </w:r>
            <w:r>
              <w:rPr>
                <w:rFonts w:hint="eastAsia"/>
                <w:sz w:val="21"/>
                <w:szCs w:val="21"/>
              </w:rPr>
              <w:t>,包括冷配料系统、骨料干燥系统、骨料供给系统、称量系统、粉料供给系统、除尘装置、沥青热油供给系统</w:t>
            </w:r>
          </w:p>
        </w:tc>
        <w:tc>
          <w:tcPr>
            <w:tcW w:w="1411" w:type="dxa"/>
            <w:vMerge w:val="restart"/>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与环评一致</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00"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水泥稳定土生产线</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both"/>
              <w:textAlignment w:val="auto"/>
              <w:outlineLvl w:val="9"/>
              <w:rPr>
                <w:rFonts w:hint="eastAsia"/>
                <w:sz w:val="21"/>
                <w:szCs w:val="21"/>
              </w:rPr>
            </w:pPr>
            <w:r>
              <w:rPr>
                <w:rFonts w:hint="eastAsia"/>
                <w:sz w:val="21"/>
                <w:szCs w:val="21"/>
              </w:rPr>
              <w:t>安装水泥稳定土搅拌机，占地100m</w:t>
            </w:r>
            <w:r>
              <w:rPr>
                <w:rFonts w:hint="eastAsia"/>
                <w:sz w:val="21"/>
                <w:szCs w:val="21"/>
                <w:vertAlign w:val="superscript"/>
              </w:rPr>
              <w:t>2</w:t>
            </w:r>
            <w:r>
              <w:rPr>
                <w:rFonts w:hint="eastAsia"/>
                <w:sz w:val="21"/>
                <w:szCs w:val="21"/>
              </w:rPr>
              <w:t>,包括配料系统、粉料供给系统、水泥储罐、搅拌器、供水系统等</w:t>
            </w:r>
          </w:p>
        </w:tc>
        <w:tc>
          <w:tcPr>
            <w:tcW w:w="1411"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700"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商品混凝土搅拌生产线</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both"/>
              <w:textAlignment w:val="auto"/>
              <w:outlineLvl w:val="9"/>
              <w:rPr>
                <w:rFonts w:hint="eastAsia"/>
                <w:sz w:val="21"/>
                <w:szCs w:val="21"/>
              </w:rPr>
            </w:pPr>
            <w:r>
              <w:rPr>
                <w:rFonts w:hint="eastAsia"/>
                <w:sz w:val="21"/>
                <w:szCs w:val="21"/>
              </w:rPr>
              <w:t>安装HZSB180型商品混凝土搅拌设备，占地100m</w:t>
            </w:r>
            <w:r>
              <w:rPr>
                <w:rFonts w:hint="eastAsia"/>
                <w:sz w:val="21"/>
                <w:szCs w:val="21"/>
                <w:vertAlign w:val="superscript"/>
              </w:rPr>
              <w:t>2</w:t>
            </w:r>
            <w:r>
              <w:rPr>
                <w:rFonts w:hint="eastAsia"/>
                <w:sz w:val="21"/>
                <w:szCs w:val="21"/>
              </w:rPr>
              <w:t>,包括骨料配料系统、斜皮带机、控制室、主机架、计量系统、搅拌系统、外加剂系统、水路系统、气控系统电控系统及配套粉料储存及供给系统</w:t>
            </w:r>
          </w:p>
        </w:tc>
        <w:tc>
          <w:tcPr>
            <w:tcW w:w="1411"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700" w:type="dxa"/>
            <w:vMerge w:val="restart"/>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辅助工程</w:t>
            </w: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运输车辆停车场</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占地300m</w:t>
            </w:r>
            <w:r>
              <w:rPr>
                <w:rFonts w:hint="eastAsia"/>
                <w:sz w:val="21"/>
                <w:szCs w:val="21"/>
                <w:vertAlign w:val="superscript"/>
              </w:rPr>
              <w:t>2</w:t>
            </w:r>
          </w:p>
        </w:tc>
        <w:tc>
          <w:tcPr>
            <w:tcW w:w="1411"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700"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石料、石粉堆场</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占地4500m</w:t>
            </w:r>
            <w:r>
              <w:rPr>
                <w:rFonts w:hint="eastAsia"/>
                <w:sz w:val="21"/>
                <w:szCs w:val="21"/>
                <w:vertAlign w:val="superscript"/>
              </w:rPr>
              <w:t>2</w:t>
            </w:r>
          </w:p>
        </w:tc>
        <w:tc>
          <w:tcPr>
            <w:tcW w:w="1411"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00"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水泥储罐</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both"/>
              <w:textAlignment w:val="auto"/>
              <w:outlineLvl w:val="9"/>
              <w:rPr>
                <w:rFonts w:hint="eastAsia"/>
                <w:sz w:val="21"/>
                <w:szCs w:val="21"/>
              </w:rPr>
            </w:pPr>
            <w:r>
              <w:rPr>
                <w:rFonts w:hint="eastAsia"/>
                <w:sz w:val="21"/>
                <w:szCs w:val="21"/>
              </w:rPr>
              <w:t>合计6个储罐，每个储存量80t;其中2个储罐用于生产水泥稳定土、4个储罐用于生产水泥混凝土</w:t>
            </w:r>
          </w:p>
        </w:tc>
        <w:tc>
          <w:tcPr>
            <w:tcW w:w="1411"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700"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沥青罐</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5个 ，一个容量500m</w:t>
            </w:r>
            <w:r>
              <w:rPr>
                <w:rFonts w:hint="eastAsia"/>
                <w:sz w:val="21"/>
                <w:szCs w:val="21"/>
                <w:vertAlign w:val="superscript"/>
              </w:rPr>
              <w:t>3,</w:t>
            </w:r>
            <w:r>
              <w:rPr>
                <w:rFonts w:hint="eastAsia"/>
                <w:sz w:val="21"/>
                <w:szCs w:val="21"/>
              </w:rPr>
              <w:t>4个容量50m</w:t>
            </w:r>
            <w:r>
              <w:rPr>
                <w:rFonts w:hint="eastAsia"/>
                <w:sz w:val="21"/>
                <w:szCs w:val="21"/>
                <w:vertAlign w:val="superscript"/>
              </w:rPr>
              <w:t>3</w:t>
            </w:r>
          </w:p>
        </w:tc>
        <w:tc>
          <w:tcPr>
            <w:tcW w:w="1411"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700"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柴油罐</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1个，容量1t</w:t>
            </w:r>
          </w:p>
        </w:tc>
        <w:tc>
          <w:tcPr>
            <w:tcW w:w="1411" w:type="dxa"/>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eastAsia="宋体"/>
                <w:sz w:val="21"/>
                <w:szCs w:val="21"/>
                <w:lang w:eastAsia="zh-CN"/>
              </w:rPr>
            </w:pPr>
            <w:r>
              <w:rPr>
                <w:rFonts w:hint="eastAsia"/>
                <w:sz w:val="21"/>
                <w:szCs w:val="21"/>
              </w:rPr>
              <w:t>与环评一致</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700" w:type="dxa"/>
            <w:vMerge w:val="restart"/>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公用工程</w:t>
            </w: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库房</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150m</w:t>
            </w:r>
            <w:r>
              <w:rPr>
                <w:rFonts w:hint="eastAsia"/>
                <w:sz w:val="21"/>
                <w:szCs w:val="21"/>
                <w:vertAlign w:val="superscript"/>
              </w:rPr>
              <w:t>2</w:t>
            </w:r>
          </w:p>
        </w:tc>
        <w:tc>
          <w:tcPr>
            <w:tcW w:w="1411" w:type="dxa"/>
            <w:vMerge w:val="restart"/>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与环评一致</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700"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办公楼</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150m</w:t>
            </w:r>
            <w:r>
              <w:rPr>
                <w:rFonts w:hint="eastAsia"/>
                <w:sz w:val="21"/>
                <w:szCs w:val="21"/>
                <w:vertAlign w:val="superscript"/>
              </w:rPr>
              <w:t>2</w:t>
            </w:r>
          </w:p>
        </w:tc>
        <w:tc>
          <w:tcPr>
            <w:tcW w:w="1411"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700"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供水</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利用厂区自备水井</w:t>
            </w:r>
          </w:p>
        </w:tc>
        <w:tc>
          <w:tcPr>
            <w:tcW w:w="1411"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700"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供电</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由绛县供电公司接入厂区</w:t>
            </w:r>
          </w:p>
        </w:tc>
        <w:tc>
          <w:tcPr>
            <w:tcW w:w="1411"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700"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供暖</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冬季不生产，无需设备专门的供热系统</w:t>
            </w:r>
          </w:p>
        </w:tc>
        <w:tc>
          <w:tcPr>
            <w:tcW w:w="1411"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0" w:type="dxa"/>
            <w:vMerge w:val="restart"/>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环保工程</w:t>
            </w: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干燥筒废气</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重力除尘器+袋式除尘器</w:t>
            </w:r>
          </w:p>
        </w:tc>
        <w:tc>
          <w:tcPr>
            <w:tcW w:w="1411"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jc w:val="center"/>
        </w:trPr>
        <w:tc>
          <w:tcPr>
            <w:tcW w:w="700"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沥青烟</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集气装置+活性炭吸附装置</w:t>
            </w:r>
          </w:p>
        </w:tc>
        <w:tc>
          <w:tcPr>
            <w:tcW w:w="1411" w:type="dxa"/>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eastAsia="宋体"/>
                <w:sz w:val="21"/>
                <w:szCs w:val="21"/>
                <w:lang w:val="en-US" w:eastAsia="zh-CN"/>
              </w:rPr>
            </w:pPr>
            <w:r>
              <w:rPr>
                <w:rFonts w:hint="eastAsia"/>
                <w:sz w:val="21"/>
                <w:szCs w:val="21"/>
              </w:rPr>
              <w:t>集气装置+</w:t>
            </w:r>
            <w:r>
              <w:rPr>
                <w:rFonts w:hint="eastAsia"/>
                <w:sz w:val="21"/>
                <w:szCs w:val="21"/>
                <w:lang w:val="en-US" w:eastAsia="zh-CN"/>
              </w:rPr>
              <w:t>水浴除尘+</w:t>
            </w:r>
            <w:r>
              <w:rPr>
                <w:rFonts w:hint="eastAsia"/>
                <w:sz w:val="21"/>
                <w:szCs w:val="21"/>
              </w:rPr>
              <w:t>活性炭吸附装置</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0"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地漏式投料口粉尘</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采用地漏式投料口，投料时定期洒水</w:t>
            </w:r>
          </w:p>
        </w:tc>
        <w:tc>
          <w:tcPr>
            <w:tcW w:w="1411" w:type="dxa"/>
            <w:vMerge w:val="restart"/>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与环评一致</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jc w:val="center"/>
        </w:trPr>
        <w:tc>
          <w:tcPr>
            <w:tcW w:w="700"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原料仓（仓底输料口）粉尘</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筒仓输料口处安装自动衔接输料口</w:t>
            </w:r>
          </w:p>
        </w:tc>
        <w:tc>
          <w:tcPr>
            <w:tcW w:w="1411"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00"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原料仓（仓顶呼吸孔）粉尘</w:t>
            </w:r>
          </w:p>
        </w:tc>
        <w:tc>
          <w:tcPr>
            <w:tcW w:w="4770" w:type="dxa"/>
            <w:vMerge w:val="restart"/>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混凝土搅拌机配套有一套震打布袋式除尘器，用于收集处理原料仓、搅拌进料系统粉尘</w:t>
            </w:r>
          </w:p>
        </w:tc>
        <w:tc>
          <w:tcPr>
            <w:tcW w:w="1411"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0"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搅拌进料系统粉尘</w:t>
            </w:r>
          </w:p>
        </w:tc>
        <w:tc>
          <w:tcPr>
            <w:tcW w:w="4770" w:type="dxa"/>
            <w:vMerge w:val="continue"/>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411"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00"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汽车冲洗废水</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循环沉淀池（6m</w:t>
            </w:r>
            <w:r>
              <w:rPr>
                <w:rFonts w:hint="eastAsia"/>
                <w:sz w:val="21"/>
                <w:szCs w:val="21"/>
                <w:vertAlign w:val="superscript"/>
              </w:rPr>
              <w:t>3</w:t>
            </w:r>
            <w:r>
              <w:rPr>
                <w:rFonts w:hint="eastAsia"/>
                <w:sz w:val="21"/>
                <w:szCs w:val="21"/>
              </w:rPr>
              <w:t>)</w:t>
            </w:r>
          </w:p>
        </w:tc>
        <w:tc>
          <w:tcPr>
            <w:tcW w:w="1411" w:type="dxa"/>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循环沉淀池</w:t>
            </w:r>
            <w:r>
              <w:rPr>
                <w:rFonts w:hint="eastAsia"/>
                <w:sz w:val="21"/>
                <w:szCs w:val="21"/>
                <w:lang w:eastAsia="zh-CN"/>
              </w:rPr>
              <w:t>（</w:t>
            </w:r>
            <w:r>
              <w:rPr>
                <w:rFonts w:hint="eastAsia"/>
                <w:sz w:val="21"/>
                <w:szCs w:val="21"/>
                <w:lang w:val="en-US" w:eastAsia="zh-CN"/>
              </w:rPr>
              <w:t>80m</w:t>
            </w:r>
            <w:r>
              <w:rPr>
                <w:rFonts w:hint="eastAsia"/>
                <w:sz w:val="21"/>
                <w:szCs w:val="21"/>
                <w:vertAlign w:val="superscript"/>
                <w:lang w:val="en-US" w:eastAsia="zh-CN"/>
              </w:rPr>
              <w:t>3</w:t>
            </w:r>
            <w:r>
              <w:rPr>
                <w:rFonts w:hint="eastAsia"/>
                <w:sz w:val="21"/>
                <w:szCs w:val="21"/>
                <w:lang w:val="en-US" w:eastAsia="zh-CN"/>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700"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生活废水</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沉淀池（3m</w:t>
            </w:r>
            <w:r>
              <w:rPr>
                <w:rFonts w:hint="eastAsia"/>
                <w:sz w:val="21"/>
                <w:szCs w:val="21"/>
                <w:vertAlign w:val="superscript"/>
              </w:rPr>
              <w:t>3</w:t>
            </w:r>
            <w:r>
              <w:rPr>
                <w:rFonts w:hint="eastAsia"/>
                <w:sz w:val="21"/>
                <w:szCs w:val="21"/>
              </w:rPr>
              <w:t>)</w:t>
            </w:r>
          </w:p>
        </w:tc>
        <w:tc>
          <w:tcPr>
            <w:tcW w:w="1411" w:type="dxa"/>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沉淀池（</w:t>
            </w:r>
            <w:r>
              <w:rPr>
                <w:rFonts w:hint="eastAsia"/>
                <w:sz w:val="21"/>
                <w:szCs w:val="21"/>
                <w:lang w:val="en-US" w:eastAsia="zh-CN"/>
              </w:rPr>
              <w:t>30</w:t>
            </w:r>
            <w:r>
              <w:rPr>
                <w:rFonts w:hint="eastAsia"/>
                <w:sz w:val="21"/>
                <w:szCs w:val="21"/>
              </w:rPr>
              <w:t>m</w:t>
            </w:r>
            <w:r>
              <w:rPr>
                <w:rFonts w:hint="eastAsia"/>
                <w:sz w:val="21"/>
                <w:szCs w:val="21"/>
                <w:vertAlign w:val="superscript"/>
              </w:rPr>
              <w:t>3</w:t>
            </w:r>
            <w:r>
              <w:rPr>
                <w:rFonts w:hint="eastAsia"/>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700" w:type="dxa"/>
            <w:vMerge w:val="continue"/>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sz w:val="21"/>
                <w:szCs w:val="21"/>
              </w:rPr>
            </w:pPr>
          </w:p>
        </w:tc>
        <w:tc>
          <w:tcPr>
            <w:tcW w:w="1623"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绿化</w:t>
            </w:r>
          </w:p>
        </w:tc>
        <w:tc>
          <w:tcPr>
            <w:tcW w:w="4770" w:type="dxa"/>
            <w:tcBorders>
              <w:tl2br w:val="nil"/>
              <w:tr2bl w:val="nil"/>
            </w:tcBorders>
            <w:vAlign w:val="center"/>
          </w:tcPr>
          <w:p>
            <w:pPr>
              <w:widowControl w:val="0"/>
              <w:wordWrap/>
              <w:adjustRightInd/>
              <w:snapToGrid w:val="0"/>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1973.34m</w:t>
            </w:r>
            <w:r>
              <w:rPr>
                <w:rFonts w:hint="eastAsia"/>
                <w:sz w:val="21"/>
                <w:szCs w:val="21"/>
                <w:vertAlign w:val="superscript"/>
              </w:rPr>
              <w:t>2</w:t>
            </w:r>
          </w:p>
        </w:tc>
        <w:tc>
          <w:tcPr>
            <w:tcW w:w="1411" w:type="dxa"/>
            <w:tcBorders>
              <w:tl2br w:val="nil"/>
              <w:tr2bl w:val="nil"/>
            </w:tcBorders>
            <w:vAlign w:val="center"/>
          </w:tcPr>
          <w:p>
            <w:pPr>
              <w:widowControl w:val="0"/>
              <w:adjustRightInd/>
              <w:snapToGrid w:val="0"/>
              <w:spacing w:before="0" w:after="0" w:line="300" w:lineRule="exact"/>
              <w:ind w:left="0" w:leftChars="0" w:right="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1483</w:t>
            </w:r>
            <w:r>
              <w:rPr>
                <w:rFonts w:hint="eastAsia"/>
                <w:sz w:val="21"/>
                <w:szCs w:val="21"/>
              </w:rPr>
              <w:t>m</w:t>
            </w:r>
            <w:r>
              <w:rPr>
                <w:rFonts w:hint="eastAsia"/>
                <w:sz w:val="21"/>
                <w:szCs w:val="21"/>
                <w:vertAlign w:val="superscript"/>
              </w:rPr>
              <w:t>2</w:t>
            </w:r>
          </w:p>
        </w:tc>
      </w:tr>
    </w:tbl>
    <w:p>
      <w:pPr>
        <w:widowControl w:val="0"/>
        <w:adjustRightInd/>
        <w:snapToGrid/>
        <w:spacing w:before="0" w:after="0" w:line="420" w:lineRule="exact"/>
        <w:ind w:left="0" w:leftChars="0" w:right="0" w:firstLine="480" w:firstLineChars="200"/>
        <w:textAlignment w:val="auto"/>
        <w:outlineLvl w:val="9"/>
        <w:rPr>
          <w:rFonts w:ascii="Times New Roman" w:hAnsi="Times New Roman" w:eastAsia="宋体" w:cs="Times New Roman"/>
          <w:color w:val="FF0000"/>
          <w:sz w:val="24"/>
          <w:szCs w:val="24"/>
        </w:rPr>
      </w:pPr>
    </w:p>
    <w:p>
      <w:pPr>
        <w:widowControl w:val="0"/>
        <w:adjustRightInd/>
        <w:snapToGrid/>
        <w:spacing w:before="0" w:after="0" w:line="420" w:lineRule="exact"/>
        <w:ind w:left="0" w:leftChars="0" w:right="0" w:firstLine="480" w:firstLineChars="200"/>
        <w:textAlignment w:val="auto"/>
        <w:outlineLvl w:val="9"/>
        <w:rPr>
          <w:rFonts w:hint="eastAsia"/>
          <w:color w:val="auto"/>
          <w:sz w:val="24"/>
          <w:szCs w:val="24"/>
          <w:lang w:eastAsia="zh-CN"/>
        </w:rPr>
      </w:pPr>
      <w:r>
        <w:rPr>
          <w:rFonts w:hint="eastAsia"/>
          <w:color w:val="auto"/>
          <w:sz w:val="24"/>
          <w:szCs w:val="24"/>
          <w:lang w:eastAsia="zh-CN"/>
        </w:rPr>
        <w:t>二、工程环评要求的环保措施和环评批复要求落实情况</w:t>
      </w:r>
    </w:p>
    <w:p>
      <w:pPr>
        <w:adjustRightInd w:val="0"/>
        <w:snapToGrid w:val="0"/>
        <w:spacing w:line="400" w:lineRule="exact"/>
        <w:ind w:firstLine="480" w:firstLineChars="200"/>
        <w:rPr>
          <w:rFonts w:hint="default" w:ascii="Times New Roman" w:hAnsi="Times New Roman" w:cs="Times New Roman"/>
          <w:sz w:val="24"/>
        </w:rPr>
      </w:pPr>
      <w:r>
        <w:rPr>
          <w:rFonts w:hint="default" w:ascii="Times New Roman" w:hAnsi="Times New Roman" w:cs="Times New Roman"/>
          <w:sz w:val="24"/>
        </w:rPr>
        <w:t>环评和批复要求采取的环保措施见表</w:t>
      </w:r>
      <w:r>
        <w:rPr>
          <w:rFonts w:hint="default" w:ascii="Times New Roman" w:hAnsi="Times New Roman" w:cs="Times New Roman"/>
          <w:sz w:val="24"/>
          <w:lang w:val="en-US" w:eastAsia="zh-CN"/>
        </w:rPr>
        <w:t>2、表3</w:t>
      </w:r>
      <w:r>
        <w:rPr>
          <w:rFonts w:hint="default" w:ascii="Times New Roman" w:hAnsi="Times New Roman" w:cs="Times New Roman"/>
          <w:sz w:val="24"/>
        </w:rPr>
        <w:t>。</w:t>
      </w:r>
    </w:p>
    <w:p>
      <w:pPr>
        <w:widowControl w:val="0"/>
        <w:wordWrap w:val="0"/>
        <w:overflowPunct w:val="0"/>
        <w:adjustRightInd/>
        <w:snapToGrid/>
        <w:spacing w:before="0" w:after="0" w:line="420" w:lineRule="exact"/>
        <w:ind w:left="0" w:leftChars="0" w:right="0" w:firstLine="0" w:firstLineChars="0"/>
        <w:jc w:val="center"/>
        <w:textAlignment w:val="auto"/>
        <w:outlineLvl w:val="9"/>
        <w:rPr>
          <w:rFonts w:hint="eastAsia"/>
          <w:color w:val="auto"/>
          <w:sz w:val="21"/>
          <w:szCs w:val="21"/>
          <w:lang w:eastAsia="zh-CN"/>
        </w:rPr>
      </w:pPr>
      <w:r>
        <w:rPr>
          <w:rFonts w:hint="default" w:ascii="Times New Roman" w:hAnsi="Times New Roman" w:cs="Times New Roman"/>
          <w:sz w:val="21"/>
          <w:szCs w:val="21"/>
          <w:lang w:eastAsia="zh-CN"/>
        </w:rPr>
        <w:t>表</w:t>
      </w:r>
      <w:r>
        <w:rPr>
          <w:rFonts w:hint="default" w:ascii="Times New Roman" w:hAnsi="Times New Roman" w:cs="Times New Roman"/>
          <w:sz w:val="21"/>
          <w:szCs w:val="21"/>
          <w:lang w:val="en-US" w:eastAsia="zh-CN"/>
        </w:rPr>
        <w:t xml:space="preserve">2  </w:t>
      </w:r>
      <w:r>
        <w:rPr>
          <w:rFonts w:hint="default" w:ascii="Times New Roman" w:hAnsi="Times New Roman" w:cs="Times New Roman"/>
          <w:sz w:val="21"/>
          <w:szCs w:val="21"/>
        </w:rPr>
        <w:t>环评要求及实际完成情况表</w:t>
      </w:r>
    </w:p>
    <w:tbl>
      <w:tblPr>
        <w:tblStyle w:val="10"/>
        <w:tblW w:w="8504" w:type="dxa"/>
        <w:jc w:val="center"/>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163"/>
        <w:gridCol w:w="3838"/>
        <w:gridCol w:w="3031"/>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641" w:hRule="exact"/>
          <w:jc w:val="center"/>
        </w:trPr>
        <w:tc>
          <w:tcPr>
            <w:tcW w:w="472"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sz w:val="21"/>
                <w:szCs w:val="21"/>
              </w:rPr>
            </w:pPr>
            <w:r>
              <w:rPr>
                <w:sz w:val="21"/>
                <w:szCs w:val="21"/>
              </w:rPr>
              <w:t>分类</w:t>
            </w:r>
          </w:p>
        </w:tc>
        <w:tc>
          <w:tcPr>
            <w:tcW w:w="1163"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sz w:val="21"/>
                <w:szCs w:val="21"/>
              </w:rPr>
            </w:pPr>
            <w:r>
              <w:rPr>
                <w:sz w:val="21"/>
                <w:szCs w:val="21"/>
              </w:rPr>
              <w:t>污染源</w:t>
            </w:r>
          </w:p>
        </w:tc>
        <w:tc>
          <w:tcPr>
            <w:tcW w:w="3838"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sz w:val="21"/>
                <w:szCs w:val="21"/>
              </w:rPr>
            </w:pPr>
            <w:r>
              <w:rPr>
                <w:sz w:val="21"/>
                <w:szCs w:val="21"/>
              </w:rPr>
              <w:t>环评要求</w:t>
            </w:r>
          </w:p>
        </w:tc>
        <w:tc>
          <w:tcPr>
            <w:tcW w:w="3031"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sz w:val="21"/>
                <w:szCs w:val="21"/>
              </w:rPr>
            </w:pPr>
            <w:r>
              <w:rPr>
                <w:rFonts w:hint="eastAsia"/>
                <w:sz w:val="21"/>
                <w:szCs w:val="21"/>
              </w:rPr>
              <w:t>实际</w:t>
            </w:r>
            <w:r>
              <w:rPr>
                <w:sz w:val="21"/>
                <w:szCs w:val="21"/>
              </w:rPr>
              <w:t>情况</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472" w:type="dxa"/>
            <w:vMerge w:val="restart"/>
            <w:tcBorders>
              <w:tl2br w:val="nil"/>
              <w:tr2bl w:val="nil"/>
            </w:tcBorders>
            <w:shd w:val="clear" w:color="auto" w:fill="FFFFFF"/>
            <w:vAlign w:val="center"/>
          </w:tcPr>
          <w:p>
            <w:pPr>
              <w:wordWrap w:val="0"/>
              <w:overflowPunct w:val="0"/>
              <w:adjustRightInd/>
              <w:snapToGrid/>
              <w:spacing w:before="0" w:after="0" w:line="300" w:lineRule="exact"/>
              <w:ind w:left="0" w:leftChars="0" w:right="0" w:firstLine="0" w:firstLineChars="0"/>
              <w:jc w:val="center"/>
              <w:textAlignment w:val="auto"/>
              <w:outlineLvl w:val="9"/>
              <w:rPr>
                <w:sz w:val="21"/>
                <w:szCs w:val="21"/>
              </w:rPr>
            </w:pPr>
            <w:r>
              <w:rPr>
                <w:sz w:val="21"/>
                <w:szCs w:val="21"/>
              </w:rPr>
              <w:t>废气</w:t>
            </w:r>
          </w:p>
        </w:tc>
        <w:tc>
          <w:tcPr>
            <w:tcW w:w="1163" w:type="dxa"/>
            <w:tcBorders>
              <w:tl2br w:val="nil"/>
              <w:tr2bl w:val="nil"/>
            </w:tcBorders>
            <w:shd w:val="clear" w:color="auto" w:fill="FFFFFF"/>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原料堆存扬尘</w:t>
            </w:r>
          </w:p>
        </w:tc>
        <w:tc>
          <w:tcPr>
            <w:tcW w:w="3838" w:type="dxa"/>
            <w:tcBorders>
              <w:tl2br w:val="nil"/>
              <w:tr2bl w:val="nil"/>
            </w:tcBorders>
            <w:shd w:val="clear" w:color="auto" w:fill="FFFFFF"/>
            <w:vAlign w:val="center"/>
          </w:tcPr>
          <w:p>
            <w:pPr>
              <w:wordWrap w:val="0"/>
              <w:overflowPunct w:val="0"/>
              <w:adjustRightInd/>
              <w:snapToGrid/>
              <w:spacing w:before="0" w:after="0" w:line="300" w:lineRule="exact"/>
              <w:ind w:left="0" w:leftChars="0" w:right="0" w:firstLine="0" w:firstLineChars="0"/>
              <w:jc w:val="left"/>
              <w:textAlignment w:val="auto"/>
              <w:outlineLvl w:val="9"/>
              <w:rPr>
                <w:rFonts w:hint="eastAsia"/>
                <w:sz w:val="21"/>
                <w:szCs w:val="21"/>
              </w:rPr>
            </w:pPr>
            <w:r>
              <w:rPr>
                <w:rFonts w:hint="eastAsia"/>
                <w:sz w:val="21"/>
                <w:szCs w:val="21"/>
              </w:rPr>
              <w:t>在石料、石粉堆场四周设2m高围墙+5m高挡风抑尘网；水泥存放在全封闭水泥储罐</w:t>
            </w:r>
          </w:p>
        </w:tc>
        <w:tc>
          <w:tcPr>
            <w:tcW w:w="3031" w:type="dxa"/>
            <w:tcBorders>
              <w:tl2br w:val="nil"/>
              <w:tr2bl w:val="nil"/>
            </w:tcBorders>
            <w:shd w:val="clear" w:color="auto" w:fill="FFFFFF"/>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Ansi="宋体"/>
                <w:kern w:val="0"/>
                <w:sz w:val="21"/>
                <w:szCs w:val="21"/>
              </w:rPr>
            </w:pPr>
            <w:r>
              <w:rPr>
                <w:rFonts w:hint="eastAsia" w:hAnsi="宋体"/>
                <w:sz w:val="21"/>
                <w:szCs w:val="21"/>
              </w:rPr>
              <w:t>与</w:t>
            </w:r>
            <w:r>
              <w:rPr>
                <w:rFonts w:hAnsi="宋体"/>
                <w:sz w:val="21"/>
                <w:szCs w:val="21"/>
              </w:rPr>
              <w:t>环评要求</w:t>
            </w:r>
            <w:r>
              <w:rPr>
                <w:rFonts w:hint="eastAsia" w:hAnsi="宋体"/>
                <w:sz w:val="21"/>
                <w:szCs w:val="21"/>
              </w:rPr>
              <w:t>一致，完成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472" w:type="dxa"/>
            <w:vMerge w:val="continue"/>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sz w:val="21"/>
                <w:szCs w:val="21"/>
              </w:rPr>
            </w:pPr>
          </w:p>
        </w:tc>
        <w:tc>
          <w:tcPr>
            <w:tcW w:w="1163"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装卸扬尘</w:t>
            </w:r>
          </w:p>
        </w:tc>
        <w:tc>
          <w:tcPr>
            <w:tcW w:w="3838"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在风速较小时装运，并进行洒水降尘</w:t>
            </w:r>
          </w:p>
        </w:tc>
        <w:tc>
          <w:tcPr>
            <w:tcW w:w="3031"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sz w:val="21"/>
                <w:szCs w:val="21"/>
              </w:rPr>
            </w:pPr>
            <w:r>
              <w:rPr>
                <w:rFonts w:hint="eastAsia" w:hAnsi="宋体"/>
                <w:sz w:val="21"/>
                <w:szCs w:val="21"/>
              </w:rPr>
              <w:t>与</w:t>
            </w:r>
            <w:r>
              <w:rPr>
                <w:rFonts w:hAnsi="宋体"/>
                <w:sz w:val="21"/>
                <w:szCs w:val="21"/>
              </w:rPr>
              <w:t>环评要求</w:t>
            </w:r>
            <w:r>
              <w:rPr>
                <w:rFonts w:hint="eastAsia" w:hAnsi="宋体"/>
                <w:sz w:val="21"/>
                <w:szCs w:val="21"/>
              </w:rPr>
              <w:t>一致，完成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472" w:type="dxa"/>
            <w:vMerge w:val="continue"/>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sz w:val="21"/>
                <w:szCs w:val="21"/>
              </w:rPr>
            </w:pPr>
          </w:p>
        </w:tc>
        <w:tc>
          <w:tcPr>
            <w:tcW w:w="1163"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沥青烟</w:t>
            </w:r>
          </w:p>
        </w:tc>
        <w:tc>
          <w:tcPr>
            <w:tcW w:w="3838"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集气装置+活性炭吸附装置</w:t>
            </w:r>
          </w:p>
        </w:tc>
        <w:tc>
          <w:tcPr>
            <w:tcW w:w="3031" w:type="dxa"/>
            <w:tcBorders>
              <w:tl2br w:val="nil"/>
              <w:tr2bl w:val="nil"/>
            </w:tcBorders>
            <w:vAlign w:val="center"/>
          </w:tcPr>
          <w:p>
            <w:pPr>
              <w:wordWrap w:val="0"/>
              <w:overflowPunct w:val="0"/>
              <w:adjustRightInd/>
              <w:snapToGrid/>
              <w:spacing w:before="0" w:after="0" w:line="300" w:lineRule="exact"/>
              <w:ind w:left="0" w:leftChars="0" w:right="0" w:firstLine="0" w:firstLineChars="0"/>
              <w:jc w:val="left"/>
              <w:textAlignment w:val="auto"/>
              <w:outlineLvl w:val="9"/>
              <w:rPr>
                <w:rFonts w:hint="eastAsia" w:eastAsia="宋体"/>
                <w:sz w:val="21"/>
                <w:szCs w:val="21"/>
                <w:lang w:val="en-US" w:eastAsia="zh-CN"/>
              </w:rPr>
            </w:pPr>
            <w:r>
              <w:rPr>
                <w:rFonts w:hint="eastAsia"/>
                <w:sz w:val="21"/>
                <w:szCs w:val="21"/>
                <w:lang w:val="en-US" w:eastAsia="zh-CN"/>
              </w:rPr>
              <w:t>沥青烟通过水浴+活性炭吸附和干燥筒废气共同使用</w:t>
            </w:r>
            <w:r>
              <w:rPr>
                <w:rFonts w:hint="eastAsia"/>
                <w:bCs/>
                <w:sz w:val="21"/>
                <w:szCs w:val="21"/>
              </w:rPr>
              <w:t>重力除尘器+布袋除尘</w:t>
            </w:r>
            <w:r>
              <w:rPr>
                <w:rFonts w:hint="eastAsia"/>
                <w:bCs/>
                <w:sz w:val="21"/>
                <w:szCs w:val="21"/>
                <w:lang w:val="en-US" w:eastAsia="zh-CN"/>
              </w:rPr>
              <w:t>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472" w:type="dxa"/>
            <w:vMerge w:val="continue"/>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sz w:val="21"/>
                <w:szCs w:val="21"/>
              </w:rPr>
            </w:pPr>
          </w:p>
        </w:tc>
        <w:tc>
          <w:tcPr>
            <w:tcW w:w="1163"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干燥筒废气</w:t>
            </w:r>
          </w:p>
        </w:tc>
        <w:tc>
          <w:tcPr>
            <w:tcW w:w="3838"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bCs/>
                <w:sz w:val="21"/>
                <w:szCs w:val="21"/>
              </w:rPr>
            </w:pPr>
            <w:r>
              <w:rPr>
                <w:rFonts w:hint="eastAsia"/>
                <w:bCs/>
                <w:sz w:val="21"/>
                <w:szCs w:val="21"/>
              </w:rPr>
              <w:t>重力除尘器+布袋除尘器</w:t>
            </w:r>
          </w:p>
        </w:tc>
        <w:tc>
          <w:tcPr>
            <w:tcW w:w="3031"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472" w:type="dxa"/>
            <w:vMerge w:val="continue"/>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sz w:val="21"/>
                <w:szCs w:val="21"/>
              </w:rPr>
            </w:pPr>
          </w:p>
        </w:tc>
        <w:tc>
          <w:tcPr>
            <w:tcW w:w="1163"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导热油炉废气</w:t>
            </w:r>
          </w:p>
        </w:tc>
        <w:tc>
          <w:tcPr>
            <w:tcW w:w="3838"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bCs/>
                <w:sz w:val="21"/>
                <w:szCs w:val="21"/>
              </w:rPr>
            </w:pPr>
            <w:r>
              <w:rPr>
                <w:rFonts w:hint="eastAsia"/>
                <w:bCs/>
                <w:sz w:val="21"/>
                <w:szCs w:val="21"/>
              </w:rPr>
              <w:t>燃油</w:t>
            </w:r>
          </w:p>
        </w:tc>
        <w:tc>
          <w:tcPr>
            <w:tcW w:w="3031" w:type="dxa"/>
            <w:tcBorders>
              <w:tl2br w:val="nil"/>
              <w:tr2bl w:val="nil"/>
            </w:tcBorders>
            <w:vAlign w:val="center"/>
          </w:tcPr>
          <w:p>
            <w:pPr>
              <w:wordWrap w:val="0"/>
              <w:overflowPunct w:val="0"/>
              <w:adjustRightInd/>
              <w:snapToGrid/>
              <w:spacing w:before="0" w:after="0" w:line="300" w:lineRule="exact"/>
              <w:ind w:left="0" w:leftChars="0" w:right="0" w:firstLine="0" w:firstLineChars="0"/>
              <w:jc w:val="left"/>
              <w:textAlignment w:val="auto"/>
              <w:outlineLvl w:val="9"/>
              <w:rPr>
                <w:rFonts w:hint="eastAsia"/>
                <w:sz w:val="21"/>
                <w:szCs w:val="21"/>
              </w:rPr>
            </w:pPr>
            <w:r>
              <w:rPr>
                <w:rFonts w:hint="eastAsia"/>
                <w:sz w:val="21"/>
                <w:szCs w:val="21"/>
              </w:rPr>
              <w:t>使用</w:t>
            </w:r>
            <w:r>
              <w:rPr>
                <w:rFonts w:hint="eastAsia"/>
                <w:sz w:val="21"/>
                <w:szCs w:val="21"/>
                <w:lang w:val="en-US" w:eastAsia="zh-CN"/>
              </w:rPr>
              <w:t>轻质柴油</w:t>
            </w:r>
            <w:r>
              <w:rPr>
                <w:rFonts w:hint="eastAsia"/>
                <w:sz w:val="21"/>
                <w:szCs w:val="21"/>
              </w:rPr>
              <w:t>作为燃料，并经除尘器处理后排放</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472" w:type="dxa"/>
            <w:vMerge w:val="continue"/>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sz w:val="21"/>
                <w:szCs w:val="21"/>
              </w:rPr>
            </w:pPr>
          </w:p>
        </w:tc>
        <w:tc>
          <w:tcPr>
            <w:tcW w:w="1163"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地漏式投料口</w:t>
            </w:r>
          </w:p>
        </w:tc>
        <w:tc>
          <w:tcPr>
            <w:tcW w:w="3838" w:type="dxa"/>
            <w:tcBorders>
              <w:tl2br w:val="nil"/>
              <w:tr2bl w:val="nil"/>
            </w:tcBorders>
            <w:vAlign w:val="center"/>
          </w:tcPr>
          <w:p>
            <w:pPr>
              <w:wordWrap w:val="0"/>
              <w:overflowPunct w:val="0"/>
              <w:adjustRightInd/>
              <w:snapToGrid/>
              <w:spacing w:before="0" w:after="0" w:line="300" w:lineRule="exact"/>
              <w:ind w:left="0" w:leftChars="0" w:right="0" w:firstLine="0" w:firstLineChars="0"/>
              <w:jc w:val="left"/>
              <w:textAlignment w:val="auto"/>
              <w:outlineLvl w:val="9"/>
              <w:rPr>
                <w:bCs/>
                <w:sz w:val="21"/>
                <w:szCs w:val="21"/>
              </w:rPr>
            </w:pPr>
            <w:r>
              <w:rPr>
                <w:rFonts w:hint="eastAsia"/>
                <w:bCs/>
                <w:sz w:val="21"/>
                <w:szCs w:val="21"/>
              </w:rPr>
              <w:t>采用地漏式投料口，投料时定期洒水增加物料含水率抑尘</w:t>
            </w:r>
          </w:p>
        </w:tc>
        <w:tc>
          <w:tcPr>
            <w:tcW w:w="3031"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hAnsi="宋体"/>
                <w:sz w:val="21"/>
                <w:szCs w:val="21"/>
              </w:rPr>
              <w:t>与</w:t>
            </w:r>
            <w:r>
              <w:rPr>
                <w:rFonts w:hAnsi="宋体"/>
                <w:sz w:val="21"/>
                <w:szCs w:val="21"/>
              </w:rPr>
              <w:t>环评要求</w:t>
            </w:r>
            <w:r>
              <w:rPr>
                <w:rFonts w:hint="eastAsia" w:hAnsi="宋体"/>
                <w:sz w:val="21"/>
                <w:szCs w:val="21"/>
              </w:rPr>
              <w:t>一致，完成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472" w:type="dxa"/>
            <w:vMerge w:val="continue"/>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sz w:val="21"/>
                <w:szCs w:val="21"/>
              </w:rPr>
            </w:pPr>
          </w:p>
        </w:tc>
        <w:tc>
          <w:tcPr>
            <w:tcW w:w="1163"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原料仓（仓底输料口）</w:t>
            </w:r>
          </w:p>
        </w:tc>
        <w:tc>
          <w:tcPr>
            <w:tcW w:w="3838"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bCs/>
                <w:sz w:val="21"/>
                <w:szCs w:val="21"/>
              </w:rPr>
            </w:pPr>
            <w:r>
              <w:rPr>
                <w:rFonts w:hint="eastAsia"/>
                <w:bCs/>
                <w:sz w:val="21"/>
                <w:szCs w:val="21"/>
              </w:rPr>
              <w:t>筒仓输料口处安装自动衔接输料口</w:t>
            </w:r>
          </w:p>
        </w:tc>
        <w:tc>
          <w:tcPr>
            <w:tcW w:w="3031"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bCs/>
                <w:sz w:val="21"/>
                <w:szCs w:val="21"/>
              </w:rPr>
            </w:pPr>
            <w:r>
              <w:rPr>
                <w:rFonts w:hint="eastAsia" w:hAnsi="宋体"/>
                <w:sz w:val="21"/>
                <w:szCs w:val="21"/>
              </w:rPr>
              <w:t>与</w:t>
            </w:r>
            <w:r>
              <w:rPr>
                <w:rFonts w:hAnsi="宋体"/>
                <w:sz w:val="21"/>
                <w:szCs w:val="21"/>
              </w:rPr>
              <w:t>环评要求</w:t>
            </w:r>
            <w:r>
              <w:rPr>
                <w:rFonts w:hint="eastAsia" w:hAnsi="宋体"/>
                <w:sz w:val="21"/>
                <w:szCs w:val="21"/>
              </w:rPr>
              <w:t>一致，完成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472" w:type="dxa"/>
            <w:vMerge w:val="continue"/>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sz w:val="21"/>
                <w:szCs w:val="21"/>
              </w:rPr>
            </w:pPr>
          </w:p>
        </w:tc>
        <w:tc>
          <w:tcPr>
            <w:tcW w:w="1163"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原料</w:t>
            </w:r>
          </w:p>
          <w:p>
            <w:pPr>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（仓顶呼吸孔）</w:t>
            </w:r>
          </w:p>
        </w:tc>
        <w:tc>
          <w:tcPr>
            <w:tcW w:w="3838" w:type="dxa"/>
            <w:tcBorders>
              <w:tl2br w:val="nil"/>
              <w:tr2bl w:val="nil"/>
            </w:tcBorders>
            <w:vAlign w:val="center"/>
          </w:tcPr>
          <w:p>
            <w:pPr>
              <w:wordWrap w:val="0"/>
              <w:overflowPunct w:val="0"/>
              <w:adjustRightInd/>
              <w:snapToGrid/>
              <w:spacing w:before="0" w:after="0" w:line="300" w:lineRule="exact"/>
              <w:ind w:left="0" w:leftChars="0" w:right="0" w:firstLine="0" w:firstLineChars="0"/>
              <w:jc w:val="left"/>
              <w:textAlignment w:val="auto"/>
              <w:outlineLvl w:val="9"/>
              <w:rPr>
                <w:rFonts w:hint="eastAsia"/>
                <w:bCs/>
                <w:sz w:val="21"/>
                <w:szCs w:val="21"/>
              </w:rPr>
            </w:pPr>
            <w:r>
              <w:rPr>
                <w:rFonts w:hint="eastAsia"/>
                <w:bCs/>
                <w:sz w:val="21"/>
                <w:szCs w:val="21"/>
              </w:rPr>
              <w:t>混凝土搅拌机上配套有一套震打布袋式除尘器（除尘效率99.5%),将各个原料筒仓和计量仓仓顶通过管道接入除尘器</w:t>
            </w:r>
          </w:p>
        </w:tc>
        <w:tc>
          <w:tcPr>
            <w:tcW w:w="3031"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bCs/>
                <w:sz w:val="21"/>
                <w:szCs w:val="21"/>
              </w:rPr>
            </w:pPr>
            <w:r>
              <w:rPr>
                <w:rFonts w:hint="eastAsia" w:hAnsi="宋体"/>
                <w:sz w:val="21"/>
                <w:szCs w:val="21"/>
              </w:rPr>
              <w:t>与</w:t>
            </w:r>
            <w:r>
              <w:rPr>
                <w:rFonts w:hAnsi="宋体"/>
                <w:sz w:val="21"/>
                <w:szCs w:val="21"/>
              </w:rPr>
              <w:t>环评要求</w:t>
            </w:r>
            <w:r>
              <w:rPr>
                <w:rFonts w:hint="eastAsia" w:hAnsi="宋体"/>
                <w:sz w:val="21"/>
                <w:szCs w:val="21"/>
              </w:rPr>
              <w:t>一致，完成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472" w:type="dxa"/>
            <w:vMerge w:val="continue"/>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sz w:val="21"/>
                <w:szCs w:val="21"/>
              </w:rPr>
            </w:pPr>
          </w:p>
        </w:tc>
        <w:tc>
          <w:tcPr>
            <w:tcW w:w="1163"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搅拌进料系统</w:t>
            </w:r>
          </w:p>
        </w:tc>
        <w:tc>
          <w:tcPr>
            <w:tcW w:w="3838"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bCs/>
                <w:sz w:val="21"/>
                <w:szCs w:val="21"/>
              </w:rPr>
            </w:pPr>
          </w:p>
        </w:tc>
        <w:tc>
          <w:tcPr>
            <w:tcW w:w="3031"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bCs/>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472" w:type="dxa"/>
            <w:vMerge w:val="restart"/>
            <w:tcBorders>
              <w:tl2br w:val="nil"/>
              <w:tr2bl w:val="nil"/>
            </w:tcBorders>
            <w:vAlign w:val="center"/>
          </w:tcPr>
          <w:p>
            <w:pPr>
              <w:widowControl/>
              <w:wordWrap w:val="0"/>
              <w:overflowPunct w:val="0"/>
              <w:adjustRightInd/>
              <w:snapToGrid/>
              <w:spacing w:before="0" w:after="0" w:line="300" w:lineRule="exact"/>
              <w:ind w:left="0" w:leftChars="0" w:right="0" w:firstLine="0" w:firstLineChars="0"/>
              <w:jc w:val="center"/>
              <w:textAlignment w:val="auto"/>
              <w:outlineLvl w:val="9"/>
              <w:rPr>
                <w:kern w:val="0"/>
                <w:sz w:val="21"/>
                <w:szCs w:val="21"/>
              </w:rPr>
            </w:pPr>
            <w:r>
              <w:rPr>
                <w:kern w:val="0"/>
                <w:sz w:val="21"/>
                <w:szCs w:val="21"/>
              </w:rPr>
              <w:t>废水</w:t>
            </w:r>
          </w:p>
        </w:tc>
        <w:tc>
          <w:tcPr>
            <w:tcW w:w="1163"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kern w:val="0"/>
                <w:sz w:val="21"/>
                <w:szCs w:val="21"/>
              </w:rPr>
            </w:pPr>
            <w:r>
              <w:rPr>
                <w:rFonts w:hint="eastAsia"/>
                <w:kern w:val="0"/>
                <w:sz w:val="21"/>
                <w:szCs w:val="21"/>
              </w:rPr>
              <w:t>汽车冲洗废水</w:t>
            </w:r>
          </w:p>
        </w:tc>
        <w:tc>
          <w:tcPr>
            <w:tcW w:w="3838"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沉淀后循环利用</w:t>
            </w:r>
          </w:p>
        </w:tc>
        <w:tc>
          <w:tcPr>
            <w:tcW w:w="3031"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lang w:val="en-US" w:eastAsia="zh-CN"/>
              </w:rPr>
            </w:pPr>
            <w:r>
              <w:rPr>
                <w:rFonts w:hint="eastAsia"/>
                <w:sz w:val="21"/>
                <w:szCs w:val="21"/>
                <w:lang w:val="en-US" w:eastAsia="zh-CN"/>
              </w:rPr>
              <w:t>建有80m</w:t>
            </w:r>
            <w:r>
              <w:rPr>
                <w:rFonts w:hint="eastAsia"/>
                <w:sz w:val="21"/>
                <w:szCs w:val="21"/>
                <w:vertAlign w:val="superscript"/>
                <w:lang w:val="en-US" w:eastAsia="zh-CN"/>
              </w:rPr>
              <w:t>3</w:t>
            </w:r>
            <w:r>
              <w:rPr>
                <w:rFonts w:hint="eastAsia"/>
                <w:sz w:val="21"/>
                <w:szCs w:val="21"/>
                <w:lang w:val="en-US" w:eastAsia="zh-CN"/>
              </w:rPr>
              <w:t>的沉淀池，</w:t>
            </w:r>
          </w:p>
          <w:p>
            <w:pPr>
              <w:wordWrap w:val="0"/>
              <w:overflowPunct w:val="0"/>
              <w:adjustRightInd/>
              <w:snapToGrid/>
              <w:spacing w:before="0" w:after="0" w:line="300" w:lineRule="exact"/>
              <w:ind w:left="0" w:leftChars="0" w:right="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满足生产需求</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472" w:type="dxa"/>
            <w:vMerge w:val="continue"/>
            <w:tcBorders>
              <w:tl2br w:val="nil"/>
              <w:tr2bl w:val="nil"/>
            </w:tcBorders>
            <w:vAlign w:val="center"/>
          </w:tcPr>
          <w:p>
            <w:pPr>
              <w:widowControl/>
              <w:wordWrap w:val="0"/>
              <w:overflowPunct w:val="0"/>
              <w:adjustRightInd/>
              <w:snapToGrid/>
              <w:spacing w:before="0" w:after="0" w:line="300" w:lineRule="exact"/>
              <w:ind w:left="0" w:leftChars="0" w:right="0" w:firstLine="0" w:firstLineChars="0"/>
              <w:jc w:val="center"/>
              <w:textAlignment w:val="auto"/>
              <w:outlineLvl w:val="9"/>
              <w:rPr>
                <w:kern w:val="0"/>
                <w:sz w:val="21"/>
                <w:szCs w:val="21"/>
              </w:rPr>
            </w:pPr>
          </w:p>
        </w:tc>
        <w:tc>
          <w:tcPr>
            <w:tcW w:w="1163"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kern w:val="0"/>
                <w:sz w:val="21"/>
                <w:szCs w:val="21"/>
              </w:rPr>
            </w:pPr>
            <w:r>
              <w:rPr>
                <w:rFonts w:hint="eastAsia"/>
                <w:kern w:val="0"/>
                <w:sz w:val="21"/>
                <w:szCs w:val="21"/>
              </w:rPr>
              <w:t>生活废水</w:t>
            </w:r>
          </w:p>
        </w:tc>
        <w:tc>
          <w:tcPr>
            <w:tcW w:w="3838"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沉淀后用于场地洒水</w:t>
            </w:r>
          </w:p>
        </w:tc>
        <w:tc>
          <w:tcPr>
            <w:tcW w:w="3031" w:type="dxa"/>
            <w:tcBorders>
              <w:tl2br w:val="nil"/>
              <w:tr2bl w:val="nil"/>
            </w:tcBorders>
            <w:vAlign w:val="center"/>
          </w:tcPr>
          <w:p>
            <w:pPr>
              <w:wordWrap w:val="0"/>
              <w:overflowPunct w:val="0"/>
              <w:adjustRightInd/>
              <w:snapToGrid/>
              <w:spacing w:before="0" w:after="0" w:line="300" w:lineRule="exact"/>
              <w:ind w:left="0" w:leftChars="0" w:right="0" w:firstLine="0" w:firstLineChars="0"/>
              <w:jc w:val="center"/>
              <w:textAlignment w:val="auto"/>
              <w:outlineLvl w:val="9"/>
              <w:rPr>
                <w:bCs/>
                <w:sz w:val="21"/>
                <w:szCs w:val="21"/>
              </w:rPr>
            </w:pPr>
            <w:r>
              <w:rPr>
                <w:rFonts w:hint="eastAsia" w:hAnsi="宋体"/>
                <w:sz w:val="21"/>
                <w:szCs w:val="21"/>
                <w:lang w:val="en-US" w:eastAsia="zh-CN"/>
              </w:rPr>
              <w:t>建有30m</w:t>
            </w:r>
            <w:r>
              <w:rPr>
                <w:rFonts w:hint="eastAsia" w:hAnsi="宋体"/>
                <w:sz w:val="21"/>
                <w:szCs w:val="21"/>
                <w:vertAlign w:val="superscript"/>
                <w:lang w:val="en-US" w:eastAsia="zh-CN"/>
              </w:rPr>
              <w:t>3</w:t>
            </w:r>
            <w:r>
              <w:rPr>
                <w:rFonts w:hint="eastAsia" w:hAnsi="宋体"/>
                <w:sz w:val="21"/>
                <w:szCs w:val="21"/>
                <w:lang w:val="en-US" w:eastAsia="zh-CN"/>
              </w:rPr>
              <w:t>沉淀池</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472" w:type="dxa"/>
            <w:vMerge w:val="restart"/>
            <w:tcBorders>
              <w:tl2br w:val="nil"/>
              <w:tr2bl w:val="nil"/>
            </w:tcBorders>
            <w:vAlign w:val="center"/>
          </w:tcPr>
          <w:p>
            <w:pPr>
              <w:wordWrap w:val="0"/>
              <w:overflowPunct w:val="0"/>
              <w:adjustRightInd/>
              <w:snapToGrid/>
              <w:spacing w:before="0" w:after="0" w:line="300" w:lineRule="exact"/>
              <w:ind w:left="0" w:leftChars="0" w:right="0" w:firstLine="0" w:firstLineChars="0"/>
              <w:jc w:val="right"/>
              <w:textAlignment w:val="auto"/>
              <w:outlineLvl w:val="9"/>
              <w:rPr>
                <w:rFonts w:hAnsi="宋体"/>
                <w:kern w:val="0"/>
                <w:sz w:val="21"/>
                <w:szCs w:val="21"/>
              </w:rPr>
            </w:pPr>
            <w:r>
              <w:rPr>
                <w:rFonts w:hAnsi="宋体"/>
                <w:kern w:val="0"/>
                <w:sz w:val="21"/>
                <w:szCs w:val="21"/>
              </w:rPr>
              <w:t>固废</w:t>
            </w:r>
          </w:p>
        </w:tc>
        <w:tc>
          <w:tcPr>
            <w:tcW w:w="1163" w:type="dxa"/>
            <w:tcBorders>
              <w:tl2br w:val="nil"/>
              <w:tr2bl w:val="nil"/>
            </w:tcBorders>
            <w:vAlign w:val="center"/>
          </w:tcPr>
          <w:p>
            <w:pPr>
              <w:wordWrap/>
              <w:overflowPunct w:val="0"/>
              <w:adjustRightInd/>
              <w:snapToGrid/>
              <w:spacing w:before="0" w:after="0" w:line="300" w:lineRule="exact"/>
              <w:ind w:left="0" w:leftChars="0" w:right="0" w:firstLine="0" w:firstLineChars="0"/>
              <w:jc w:val="left"/>
              <w:textAlignment w:val="auto"/>
              <w:outlineLvl w:val="9"/>
              <w:rPr>
                <w:rFonts w:hint="eastAsia"/>
                <w:sz w:val="21"/>
                <w:szCs w:val="21"/>
              </w:rPr>
            </w:pPr>
            <w:r>
              <w:rPr>
                <w:rFonts w:hAnsi="宋体"/>
                <w:sz w:val="21"/>
                <w:szCs w:val="21"/>
              </w:rPr>
              <w:t>废</w:t>
            </w:r>
            <w:r>
              <w:rPr>
                <w:rFonts w:hint="eastAsia" w:hAnsi="宋体"/>
                <w:sz w:val="21"/>
                <w:szCs w:val="21"/>
              </w:rPr>
              <w:t>石料</w:t>
            </w:r>
          </w:p>
        </w:tc>
        <w:tc>
          <w:tcPr>
            <w:tcW w:w="3838" w:type="dxa"/>
            <w:tcBorders>
              <w:tl2br w:val="nil"/>
              <w:tr2bl w:val="nil"/>
            </w:tcBorders>
            <w:vAlign w:val="center"/>
          </w:tcPr>
          <w:p>
            <w:pPr>
              <w:tabs>
                <w:tab w:val="left" w:pos="10204"/>
              </w:tabs>
              <w:wordWrap/>
              <w:overflowPunct w:val="0"/>
              <w:adjustRightInd/>
              <w:snapToGrid/>
              <w:spacing w:before="0" w:after="0" w:line="300" w:lineRule="exact"/>
              <w:ind w:left="0" w:leftChars="0" w:right="0" w:firstLine="0" w:firstLineChars="0"/>
              <w:jc w:val="left"/>
              <w:textAlignment w:val="auto"/>
              <w:outlineLvl w:val="9"/>
              <w:rPr>
                <w:rFonts w:hint="eastAsia"/>
                <w:sz w:val="21"/>
                <w:szCs w:val="21"/>
              </w:rPr>
            </w:pPr>
            <w:r>
              <w:rPr>
                <w:rFonts w:hint="eastAsia" w:hAnsi="宋体"/>
                <w:sz w:val="21"/>
                <w:szCs w:val="21"/>
              </w:rPr>
              <w:t>用于铺路或由石料供应商回收破碎后重新利用</w:t>
            </w:r>
          </w:p>
        </w:tc>
        <w:tc>
          <w:tcPr>
            <w:tcW w:w="3031" w:type="dxa"/>
            <w:tcBorders>
              <w:tl2br w:val="nil"/>
              <w:tr2bl w:val="nil"/>
            </w:tcBorders>
            <w:vAlign w:val="center"/>
          </w:tcPr>
          <w:p>
            <w:pPr>
              <w:pStyle w:val="12"/>
              <w:wordWrap/>
              <w:overflowPunct w:val="0"/>
              <w:adjustRightInd/>
              <w:snapToGrid/>
              <w:spacing w:before="0" w:after="0" w:line="300" w:lineRule="exact"/>
              <w:ind w:left="0" w:leftChars="0" w:right="0" w:firstLine="0" w:firstLineChars="0"/>
              <w:jc w:val="center"/>
              <w:textAlignment w:val="auto"/>
              <w:outlineLvl w:val="9"/>
              <w:rPr>
                <w:rFonts w:hint="eastAsia" w:ascii="Times New Roman" w:hAnsi="宋体"/>
                <w:sz w:val="21"/>
                <w:szCs w:val="21"/>
              </w:rPr>
            </w:pPr>
            <w:r>
              <w:rPr>
                <w:rFonts w:hint="eastAsia" w:ascii="Times New Roman" w:hAnsi="宋体"/>
                <w:sz w:val="21"/>
                <w:szCs w:val="21"/>
              </w:rPr>
              <w:t>与</w:t>
            </w:r>
            <w:r>
              <w:rPr>
                <w:rFonts w:ascii="Times New Roman" w:hAnsi="宋体"/>
                <w:sz w:val="21"/>
                <w:szCs w:val="21"/>
              </w:rPr>
              <w:t>环评要求</w:t>
            </w:r>
            <w:r>
              <w:rPr>
                <w:rFonts w:hint="eastAsia" w:ascii="Times New Roman" w:hAnsi="宋体"/>
                <w:sz w:val="21"/>
                <w:szCs w:val="21"/>
              </w:rPr>
              <w:t>一致，完成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472" w:type="dxa"/>
            <w:vMerge w:val="continue"/>
            <w:tcBorders>
              <w:tl2br w:val="nil"/>
              <w:tr2bl w:val="nil"/>
            </w:tcBorders>
            <w:vAlign w:val="center"/>
          </w:tcPr>
          <w:p>
            <w:pPr>
              <w:wordWrap/>
              <w:overflowPunct w:val="0"/>
              <w:adjustRightInd/>
              <w:snapToGrid/>
              <w:spacing w:before="0" w:after="0" w:line="300" w:lineRule="exact"/>
              <w:ind w:left="0" w:leftChars="0" w:right="0" w:firstLine="0" w:firstLineChars="0"/>
              <w:jc w:val="right"/>
              <w:textAlignment w:val="auto"/>
              <w:outlineLvl w:val="9"/>
              <w:rPr>
                <w:rFonts w:hAnsi="宋体"/>
                <w:kern w:val="0"/>
                <w:sz w:val="21"/>
                <w:szCs w:val="21"/>
              </w:rPr>
            </w:pPr>
          </w:p>
        </w:tc>
        <w:tc>
          <w:tcPr>
            <w:tcW w:w="1163" w:type="dxa"/>
            <w:tcBorders>
              <w:tl2br w:val="nil"/>
              <w:tr2bl w:val="nil"/>
            </w:tcBorders>
            <w:vAlign w:val="center"/>
          </w:tcPr>
          <w:p>
            <w:pPr>
              <w:wordWrap/>
              <w:overflowPunct w:val="0"/>
              <w:adjustRightInd/>
              <w:snapToGrid/>
              <w:spacing w:before="0" w:after="0" w:line="300" w:lineRule="exact"/>
              <w:ind w:left="0" w:leftChars="0" w:right="0" w:firstLine="0" w:firstLineChars="0"/>
              <w:jc w:val="left"/>
              <w:textAlignment w:val="auto"/>
              <w:outlineLvl w:val="9"/>
              <w:rPr>
                <w:rFonts w:hint="eastAsia"/>
                <w:sz w:val="21"/>
                <w:szCs w:val="21"/>
              </w:rPr>
            </w:pPr>
            <w:r>
              <w:rPr>
                <w:rFonts w:hint="eastAsia" w:hAnsi="宋体"/>
                <w:sz w:val="21"/>
                <w:szCs w:val="21"/>
              </w:rPr>
              <w:t>混凝土试样废弃物</w:t>
            </w:r>
          </w:p>
        </w:tc>
        <w:tc>
          <w:tcPr>
            <w:tcW w:w="3838" w:type="dxa"/>
            <w:tcBorders>
              <w:tl2br w:val="nil"/>
              <w:tr2bl w:val="nil"/>
            </w:tcBorders>
            <w:vAlign w:val="center"/>
          </w:tcPr>
          <w:p>
            <w:pPr>
              <w:tabs>
                <w:tab w:val="left" w:pos="10204"/>
              </w:tabs>
              <w:wordWrap/>
              <w:overflowPunct w:val="0"/>
              <w:adjustRightInd/>
              <w:snapToGrid/>
              <w:spacing w:before="0" w:after="0" w:line="300" w:lineRule="exact"/>
              <w:ind w:left="0" w:leftChars="0" w:right="0" w:firstLine="0" w:firstLineChars="0"/>
              <w:jc w:val="right"/>
              <w:textAlignment w:val="auto"/>
              <w:outlineLvl w:val="9"/>
              <w:rPr>
                <w:rFonts w:hint="eastAsia"/>
                <w:sz w:val="21"/>
                <w:szCs w:val="21"/>
              </w:rPr>
            </w:pPr>
            <w:r>
              <w:rPr>
                <w:rFonts w:hint="eastAsia"/>
                <w:sz w:val="21"/>
                <w:szCs w:val="21"/>
              </w:rPr>
              <w:t>全部作为原料二次回用于搅拌混凝土中</w:t>
            </w:r>
          </w:p>
        </w:tc>
        <w:tc>
          <w:tcPr>
            <w:tcW w:w="3031" w:type="dxa"/>
            <w:tcBorders>
              <w:tl2br w:val="nil"/>
              <w:tr2bl w:val="nil"/>
            </w:tcBorders>
            <w:vAlign w:val="center"/>
          </w:tcPr>
          <w:p>
            <w:pPr>
              <w:tabs>
                <w:tab w:val="left" w:pos="10204"/>
              </w:tabs>
              <w:wordWrap/>
              <w:overflowPunct w:val="0"/>
              <w:adjustRightInd/>
              <w:snapToGrid/>
              <w:spacing w:before="0" w:after="0" w:line="300" w:lineRule="exact"/>
              <w:ind w:left="0" w:leftChars="0" w:right="0" w:firstLine="0" w:firstLineChars="0"/>
              <w:jc w:val="center"/>
              <w:textAlignment w:val="auto"/>
              <w:outlineLvl w:val="9"/>
              <w:rPr>
                <w:kern w:val="0"/>
                <w:sz w:val="21"/>
                <w:szCs w:val="21"/>
              </w:rPr>
            </w:pPr>
            <w:r>
              <w:rPr>
                <w:rFonts w:hint="eastAsia" w:hAnsi="宋体"/>
                <w:sz w:val="21"/>
                <w:szCs w:val="21"/>
              </w:rPr>
              <w:t>与</w:t>
            </w:r>
            <w:r>
              <w:rPr>
                <w:rFonts w:hAnsi="宋体"/>
                <w:sz w:val="21"/>
                <w:szCs w:val="21"/>
              </w:rPr>
              <w:t>环评要求</w:t>
            </w:r>
            <w:r>
              <w:rPr>
                <w:rFonts w:hint="eastAsia" w:hAnsi="宋体"/>
                <w:sz w:val="21"/>
                <w:szCs w:val="21"/>
              </w:rPr>
              <w:t>一致，完成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472" w:type="dxa"/>
            <w:vMerge w:val="continue"/>
            <w:tcBorders>
              <w:tl2br w:val="nil"/>
              <w:tr2bl w:val="nil"/>
            </w:tcBorders>
            <w:vAlign w:val="center"/>
          </w:tcPr>
          <w:p>
            <w:pPr>
              <w:wordWrap/>
              <w:overflowPunct w:val="0"/>
              <w:adjustRightInd/>
              <w:snapToGrid/>
              <w:spacing w:before="0" w:after="0" w:line="300" w:lineRule="exact"/>
              <w:ind w:left="0" w:leftChars="0" w:right="0" w:firstLine="0" w:firstLineChars="0"/>
              <w:jc w:val="right"/>
              <w:textAlignment w:val="auto"/>
              <w:outlineLvl w:val="9"/>
              <w:rPr>
                <w:rFonts w:hAnsi="宋体"/>
                <w:kern w:val="0"/>
                <w:sz w:val="21"/>
                <w:szCs w:val="21"/>
              </w:rPr>
            </w:pPr>
          </w:p>
        </w:tc>
        <w:tc>
          <w:tcPr>
            <w:tcW w:w="1163" w:type="dxa"/>
            <w:tcBorders>
              <w:tl2br w:val="nil"/>
              <w:tr2bl w:val="nil"/>
            </w:tcBorders>
            <w:vAlign w:val="center"/>
          </w:tcPr>
          <w:p>
            <w:pPr>
              <w:wordWrap/>
              <w:overflowPunct w:val="0"/>
              <w:adjustRightInd/>
              <w:snapToGrid/>
              <w:spacing w:before="0" w:after="0" w:line="300" w:lineRule="exact"/>
              <w:ind w:left="0" w:leftChars="0" w:right="0" w:firstLine="0" w:firstLineChars="0"/>
              <w:jc w:val="left"/>
              <w:textAlignment w:val="auto"/>
              <w:outlineLvl w:val="9"/>
              <w:rPr>
                <w:rFonts w:hint="eastAsia"/>
                <w:sz w:val="21"/>
                <w:szCs w:val="21"/>
              </w:rPr>
            </w:pPr>
            <w:r>
              <w:rPr>
                <w:rFonts w:hint="eastAsia"/>
                <w:sz w:val="21"/>
                <w:szCs w:val="21"/>
              </w:rPr>
              <w:t>除尘灰</w:t>
            </w:r>
          </w:p>
        </w:tc>
        <w:tc>
          <w:tcPr>
            <w:tcW w:w="3838" w:type="dxa"/>
            <w:tcBorders>
              <w:tl2br w:val="nil"/>
              <w:tr2bl w:val="nil"/>
            </w:tcBorders>
            <w:vAlign w:val="center"/>
          </w:tcPr>
          <w:p>
            <w:pPr>
              <w:pStyle w:val="4"/>
              <w:wordWrap/>
              <w:overflowPunct w:val="0"/>
              <w:adjustRightInd/>
              <w:snapToGrid/>
              <w:spacing w:before="0" w:after="0" w:line="300" w:lineRule="exact"/>
              <w:ind w:left="0" w:leftChars="0" w:right="0" w:firstLine="0" w:firstLineChars="0"/>
              <w:jc w:val="right"/>
              <w:textAlignment w:val="auto"/>
              <w:outlineLvl w:val="9"/>
              <w:rPr>
                <w:rFonts w:hint="eastAsia"/>
                <w:sz w:val="21"/>
                <w:szCs w:val="21"/>
              </w:rPr>
            </w:pPr>
            <w:r>
              <w:rPr>
                <w:rFonts w:hint="eastAsia"/>
                <w:sz w:val="21"/>
                <w:szCs w:val="21"/>
              </w:rPr>
              <w:t>统一收集返回原料工段用作生产原料</w:t>
            </w:r>
          </w:p>
        </w:tc>
        <w:tc>
          <w:tcPr>
            <w:tcW w:w="3031" w:type="dxa"/>
            <w:tcBorders>
              <w:tl2br w:val="nil"/>
              <w:tr2bl w:val="nil"/>
            </w:tcBorders>
            <w:vAlign w:val="center"/>
          </w:tcPr>
          <w:p>
            <w:pPr>
              <w:pStyle w:val="4"/>
              <w:wordWrap/>
              <w:overflowPunct w:val="0"/>
              <w:adjustRightInd/>
              <w:snapToGrid/>
              <w:spacing w:before="0" w:after="0" w:line="300" w:lineRule="exact"/>
              <w:ind w:left="0" w:leftChars="0" w:right="0" w:firstLine="0" w:firstLineChars="0"/>
              <w:jc w:val="center"/>
              <w:textAlignment w:val="auto"/>
              <w:outlineLvl w:val="9"/>
              <w:rPr>
                <w:sz w:val="21"/>
                <w:szCs w:val="21"/>
              </w:rPr>
            </w:pPr>
            <w:r>
              <w:rPr>
                <w:rFonts w:hint="eastAsia" w:hAnsi="宋体"/>
                <w:sz w:val="21"/>
                <w:szCs w:val="21"/>
              </w:rPr>
              <w:t>与</w:t>
            </w:r>
            <w:r>
              <w:rPr>
                <w:rFonts w:hAnsi="宋体"/>
                <w:sz w:val="21"/>
                <w:szCs w:val="21"/>
              </w:rPr>
              <w:t>环评要求</w:t>
            </w:r>
            <w:r>
              <w:rPr>
                <w:rFonts w:hint="eastAsia" w:hAnsi="宋体"/>
                <w:sz w:val="21"/>
                <w:szCs w:val="21"/>
              </w:rPr>
              <w:t>一致，完成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472" w:type="dxa"/>
            <w:vMerge w:val="continue"/>
            <w:tcBorders>
              <w:tl2br w:val="nil"/>
              <w:tr2bl w:val="nil"/>
            </w:tcBorders>
            <w:vAlign w:val="center"/>
          </w:tcPr>
          <w:p>
            <w:pPr>
              <w:widowControl/>
              <w:wordWrap/>
              <w:overflowPunct w:val="0"/>
              <w:adjustRightInd/>
              <w:snapToGrid/>
              <w:spacing w:before="0" w:after="0" w:line="300" w:lineRule="exact"/>
              <w:ind w:left="0" w:leftChars="0" w:right="0" w:firstLine="0" w:firstLineChars="0"/>
              <w:jc w:val="right"/>
              <w:textAlignment w:val="auto"/>
              <w:outlineLvl w:val="9"/>
              <w:rPr>
                <w:kern w:val="0"/>
                <w:sz w:val="21"/>
                <w:szCs w:val="21"/>
              </w:rPr>
            </w:pPr>
          </w:p>
        </w:tc>
        <w:tc>
          <w:tcPr>
            <w:tcW w:w="1163" w:type="dxa"/>
            <w:tcBorders>
              <w:tl2br w:val="nil"/>
              <w:tr2bl w:val="nil"/>
            </w:tcBorders>
            <w:vAlign w:val="center"/>
          </w:tcPr>
          <w:p>
            <w:pPr>
              <w:wordWrap/>
              <w:overflowPunct w:val="0"/>
              <w:adjustRightInd/>
              <w:snapToGrid/>
              <w:spacing w:before="0" w:after="0" w:line="300" w:lineRule="exact"/>
              <w:ind w:left="0" w:leftChars="0" w:right="0" w:firstLine="0" w:firstLineChars="0"/>
              <w:jc w:val="left"/>
              <w:textAlignment w:val="auto"/>
              <w:outlineLvl w:val="9"/>
              <w:rPr>
                <w:rFonts w:hint="eastAsia"/>
                <w:kern w:val="0"/>
                <w:sz w:val="21"/>
                <w:szCs w:val="21"/>
              </w:rPr>
            </w:pPr>
            <w:r>
              <w:rPr>
                <w:rFonts w:hint="eastAsia"/>
                <w:kern w:val="0"/>
                <w:sz w:val="21"/>
                <w:szCs w:val="21"/>
              </w:rPr>
              <w:t>滴漏沥青及拌合残渣</w:t>
            </w:r>
          </w:p>
        </w:tc>
        <w:tc>
          <w:tcPr>
            <w:tcW w:w="3838" w:type="dxa"/>
            <w:tcBorders>
              <w:tl2br w:val="nil"/>
              <w:tr2bl w:val="nil"/>
            </w:tcBorders>
            <w:vAlign w:val="center"/>
          </w:tcPr>
          <w:p>
            <w:pPr>
              <w:pStyle w:val="12"/>
              <w:wordWrap/>
              <w:overflowPunct w:val="0"/>
              <w:adjustRightInd/>
              <w:snapToGrid/>
              <w:spacing w:before="0" w:after="0" w:line="300" w:lineRule="exact"/>
              <w:ind w:left="0" w:leftChars="0" w:right="0" w:firstLine="0" w:firstLineChars="0"/>
              <w:jc w:val="right"/>
              <w:textAlignment w:val="auto"/>
              <w:outlineLvl w:val="9"/>
              <w:rPr>
                <w:rFonts w:hint="eastAsia" w:ascii="Times New Roman" w:hAnsi="Times New Roman"/>
                <w:sz w:val="21"/>
                <w:szCs w:val="21"/>
              </w:rPr>
            </w:pPr>
            <w:r>
              <w:rPr>
                <w:rFonts w:hint="eastAsia" w:ascii="Times New Roman" w:hAnsi="Times New Roman"/>
                <w:sz w:val="21"/>
                <w:szCs w:val="21"/>
              </w:rPr>
              <w:t>在泄露处用专用容器接装，并回收利用</w:t>
            </w:r>
          </w:p>
        </w:tc>
        <w:tc>
          <w:tcPr>
            <w:tcW w:w="3031" w:type="dxa"/>
            <w:tcBorders>
              <w:tl2br w:val="nil"/>
              <w:tr2bl w:val="nil"/>
            </w:tcBorders>
            <w:vAlign w:val="center"/>
          </w:tcPr>
          <w:p>
            <w:pPr>
              <w:pStyle w:val="12"/>
              <w:wordWrap/>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ascii="Times New Roman" w:hAnsi="宋体"/>
                <w:sz w:val="21"/>
                <w:szCs w:val="21"/>
              </w:rPr>
              <w:t>与</w:t>
            </w:r>
            <w:r>
              <w:rPr>
                <w:rFonts w:ascii="Times New Roman" w:hAnsi="宋体"/>
                <w:sz w:val="21"/>
                <w:szCs w:val="21"/>
              </w:rPr>
              <w:t>环评要求</w:t>
            </w:r>
            <w:r>
              <w:rPr>
                <w:rFonts w:hint="eastAsia" w:ascii="Times New Roman" w:hAnsi="宋体"/>
                <w:sz w:val="21"/>
                <w:szCs w:val="21"/>
              </w:rPr>
              <w:t>一致，完成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472" w:type="dxa"/>
            <w:vMerge w:val="continue"/>
            <w:tcBorders>
              <w:tl2br w:val="nil"/>
              <w:tr2bl w:val="nil"/>
            </w:tcBorders>
            <w:vAlign w:val="center"/>
          </w:tcPr>
          <w:p>
            <w:pPr>
              <w:widowControl/>
              <w:wordWrap w:val="0"/>
              <w:overflowPunct w:val="0"/>
              <w:adjustRightInd/>
              <w:snapToGrid/>
              <w:spacing w:before="0" w:after="0" w:line="300" w:lineRule="exact"/>
              <w:ind w:left="0" w:leftChars="0" w:right="0" w:firstLine="0" w:firstLineChars="0"/>
              <w:jc w:val="right"/>
              <w:textAlignment w:val="auto"/>
              <w:outlineLvl w:val="9"/>
              <w:rPr>
                <w:kern w:val="0"/>
                <w:sz w:val="21"/>
                <w:szCs w:val="21"/>
              </w:rPr>
            </w:pPr>
          </w:p>
        </w:tc>
        <w:tc>
          <w:tcPr>
            <w:tcW w:w="1163" w:type="dxa"/>
            <w:tcBorders>
              <w:tl2br w:val="nil"/>
              <w:tr2bl w:val="nil"/>
            </w:tcBorders>
            <w:vAlign w:val="center"/>
          </w:tcPr>
          <w:p>
            <w:pPr>
              <w:wordWrap/>
              <w:overflowPunct w:val="0"/>
              <w:adjustRightInd/>
              <w:snapToGrid/>
              <w:spacing w:before="0" w:after="0" w:line="300" w:lineRule="exact"/>
              <w:ind w:left="0" w:leftChars="0" w:right="0" w:firstLine="0" w:firstLineChars="0"/>
              <w:jc w:val="left"/>
              <w:textAlignment w:val="auto"/>
              <w:outlineLvl w:val="9"/>
              <w:rPr>
                <w:rFonts w:hint="eastAsia"/>
                <w:kern w:val="0"/>
                <w:sz w:val="21"/>
                <w:szCs w:val="21"/>
                <w:highlight w:val="yellow"/>
              </w:rPr>
            </w:pPr>
            <w:r>
              <w:rPr>
                <w:rFonts w:hint="eastAsia"/>
                <w:kern w:val="0"/>
                <w:sz w:val="21"/>
                <w:szCs w:val="21"/>
                <w:highlight w:val="none"/>
              </w:rPr>
              <w:t>废活性炭</w:t>
            </w:r>
          </w:p>
        </w:tc>
        <w:tc>
          <w:tcPr>
            <w:tcW w:w="3838" w:type="dxa"/>
            <w:tcBorders>
              <w:tl2br w:val="nil"/>
              <w:tr2bl w:val="nil"/>
            </w:tcBorders>
            <w:vAlign w:val="center"/>
          </w:tcPr>
          <w:p>
            <w:pPr>
              <w:pStyle w:val="12"/>
              <w:wordWrap/>
              <w:overflowPunct w:val="0"/>
              <w:adjustRightInd/>
              <w:snapToGrid/>
              <w:spacing w:before="0" w:after="0" w:line="300" w:lineRule="exact"/>
              <w:ind w:left="0" w:leftChars="0" w:right="0" w:firstLine="0" w:firstLineChars="0"/>
              <w:jc w:val="right"/>
              <w:textAlignment w:val="auto"/>
              <w:outlineLvl w:val="9"/>
              <w:rPr>
                <w:rFonts w:hint="eastAsia" w:ascii="Times New Roman" w:hAnsi="Times New Roman"/>
                <w:sz w:val="21"/>
                <w:szCs w:val="21"/>
              </w:rPr>
            </w:pPr>
            <w:r>
              <w:rPr>
                <w:rFonts w:hint="eastAsia" w:ascii="Times New Roman" w:hAnsi="Times New Roman"/>
                <w:sz w:val="21"/>
                <w:szCs w:val="21"/>
              </w:rPr>
              <w:t>收集后委托有资质的单位回收处理</w:t>
            </w:r>
          </w:p>
        </w:tc>
        <w:tc>
          <w:tcPr>
            <w:tcW w:w="3031" w:type="dxa"/>
            <w:tcBorders>
              <w:tl2br w:val="nil"/>
              <w:tr2bl w:val="nil"/>
            </w:tcBorders>
            <w:vAlign w:val="center"/>
          </w:tcPr>
          <w:p>
            <w:pPr>
              <w:pStyle w:val="12"/>
              <w:wordWrap/>
              <w:overflowPunct w:val="0"/>
              <w:adjustRightInd/>
              <w:snapToGrid/>
              <w:spacing w:before="0" w:after="0" w:line="300" w:lineRule="exact"/>
              <w:ind w:left="0" w:leftChars="0" w:right="0" w:firstLine="0" w:firstLineChars="0"/>
              <w:jc w:val="left"/>
              <w:textAlignment w:val="auto"/>
              <w:outlineLvl w:val="9"/>
              <w:rPr>
                <w:rFonts w:hint="eastAsia" w:eastAsia="宋体"/>
                <w:sz w:val="21"/>
                <w:szCs w:val="21"/>
                <w:lang w:val="en-US" w:eastAsia="zh-CN"/>
              </w:rPr>
            </w:pPr>
            <w:r>
              <w:rPr>
                <w:rFonts w:hint="eastAsia"/>
                <w:sz w:val="21"/>
                <w:szCs w:val="21"/>
                <w:lang w:val="en-US" w:eastAsia="zh-CN"/>
              </w:rPr>
              <w:t>山西晋投夏工水泥有限公司回收处理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472" w:type="dxa"/>
            <w:vMerge w:val="continue"/>
            <w:tcBorders>
              <w:tl2br w:val="nil"/>
              <w:tr2bl w:val="nil"/>
            </w:tcBorders>
            <w:vAlign w:val="center"/>
          </w:tcPr>
          <w:p>
            <w:pPr>
              <w:widowControl/>
              <w:wordWrap/>
              <w:overflowPunct w:val="0"/>
              <w:adjustRightInd/>
              <w:snapToGrid/>
              <w:spacing w:before="0" w:after="0" w:line="300" w:lineRule="exact"/>
              <w:ind w:left="0" w:leftChars="0" w:right="0" w:firstLine="0" w:firstLineChars="0"/>
              <w:jc w:val="right"/>
              <w:textAlignment w:val="auto"/>
              <w:outlineLvl w:val="9"/>
              <w:rPr>
                <w:kern w:val="0"/>
                <w:sz w:val="21"/>
                <w:szCs w:val="21"/>
              </w:rPr>
            </w:pPr>
          </w:p>
        </w:tc>
        <w:tc>
          <w:tcPr>
            <w:tcW w:w="1163" w:type="dxa"/>
            <w:tcBorders>
              <w:tl2br w:val="nil"/>
              <w:tr2bl w:val="nil"/>
            </w:tcBorders>
            <w:vAlign w:val="center"/>
          </w:tcPr>
          <w:p>
            <w:pPr>
              <w:wordWrap/>
              <w:overflowPunct w:val="0"/>
              <w:adjustRightInd/>
              <w:snapToGrid/>
              <w:spacing w:before="0" w:after="0" w:line="300" w:lineRule="exact"/>
              <w:ind w:left="0" w:leftChars="0" w:right="0" w:firstLine="0" w:firstLineChars="0"/>
              <w:jc w:val="left"/>
              <w:textAlignment w:val="auto"/>
              <w:outlineLvl w:val="9"/>
              <w:rPr>
                <w:rFonts w:hint="eastAsia"/>
                <w:kern w:val="0"/>
                <w:sz w:val="21"/>
                <w:szCs w:val="21"/>
              </w:rPr>
            </w:pPr>
            <w:r>
              <w:rPr>
                <w:rFonts w:hint="eastAsia"/>
                <w:kern w:val="0"/>
                <w:sz w:val="21"/>
                <w:szCs w:val="21"/>
              </w:rPr>
              <w:t>生活垃圾</w:t>
            </w:r>
          </w:p>
        </w:tc>
        <w:tc>
          <w:tcPr>
            <w:tcW w:w="3838" w:type="dxa"/>
            <w:tcBorders>
              <w:tl2br w:val="nil"/>
              <w:tr2bl w:val="nil"/>
            </w:tcBorders>
            <w:vAlign w:val="center"/>
          </w:tcPr>
          <w:p>
            <w:pPr>
              <w:pStyle w:val="12"/>
              <w:wordWrap/>
              <w:overflowPunct w:val="0"/>
              <w:adjustRightInd/>
              <w:snapToGrid/>
              <w:spacing w:before="0" w:after="0" w:line="300" w:lineRule="exact"/>
              <w:ind w:left="0" w:leftChars="0" w:right="0" w:firstLine="0" w:firstLineChars="0"/>
              <w:jc w:val="left"/>
              <w:textAlignment w:val="auto"/>
              <w:outlineLvl w:val="9"/>
              <w:rPr>
                <w:rFonts w:hint="eastAsia" w:ascii="Times New Roman" w:hAnsi="Times New Roman"/>
                <w:sz w:val="21"/>
                <w:szCs w:val="21"/>
              </w:rPr>
            </w:pPr>
            <w:r>
              <w:rPr>
                <w:rFonts w:hint="eastAsia" w:ascii="Times New Roman" w:hAnsi="Times New Roman"/>
                <w:sz w:val="21"/>
                <w:szCs w:val="21"/>
              </w:rPr>
              <w:t>统一收集后委托当地环卫部门进行填埋处理</w:t>
            </w:r>
          </w:p>
        </w:tc>
        <w:tc>
          <w:tcPr>
            <w:tcW w:w="3031" w:type="dxa"/>
            <w:tcBorders>
              <w:tl2br w:val="nil"/>
              <w:tr2bl w:val="nil"/>
            </w:tcBorders>
            <w:vAlign w:val="center"/>
          </w:tcPr>
          <w:p>
            <w:pPr>
              <w:pStyle w:val="12"/>
              <w:wordWrap/>
              <w:overflowPunct w:val="0"/>
              <w:adjustRightInd/>
              <w:snapToGrid/>
              <w:spacing w:before="0" w:after="0" w:line="300" w:lineRule="exact"/>
              <w:ind w:left="0" w:leftChars="0" w:right="0" w:firstLine="0" w:firstLineChars="0"/>
              <w:jc w:val="left"/>
              <w:textAlignment w:val="auto"/>
              <w:outlineLvl w:val="9"/>
              <w:rPr>
                <w:rFonts w:hint="eastAsia"/>
                <w:sz w:val="21"/>
                <w:szCs w:val="21"/>
              </w:rPr>
            </w:pPr>
            <w:r>
              <w:rPr>
                <w:rFonts w:hint="eastAsia" w:ascii="Times New Roman" w:hAnsi="Times New Roman"/>
                <w:sz w:val="21"/>
                <w:szCs w:val="21"/>
              </w:rPr>
              <w:t>统一收集后委托当地环卫部门进行填埋处理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472" w:type="dxa"/>
            <w:tcBorders>
              <w:tl2br w:val="nil"/>
              <w:tr2bl w:val="nil"/>
            </w:tcBorders>
            <w:vAlign w:val="center"/>
          </w:tcPr>
          <w:p>
            <w:pPr>
              <w:widowControl/>
              <w:wordWrap/>
              <w:overflowPunct w:val="0"/>
              <w:adjustRightInd/>
              <w:snapToGrid/>
              <w:spacing w:before="0" w:after="0" w:line="300" w:lineRule="exact"/>
              <w:ind w:left="0" w:leftChars="0" w:right="0" w:firstLine="0" w:firstLineChars="0"/>
              <w:jc w:val="right"/>
              <w:textAlignment w:val="auto"/>
              <w:outlineLvl w:val="9"/>
              <w:rPr>
                <w:kern w:val="0"/>
                <w:sz w:val="21"/>
                <w:szCs w:val="21"/>
              </w:rPr>
            </w:pPr>
            <w:r>
              <w:rPr>
                <w:rFonts w:hAnsi="宋体"/>
                <w:kern w:val="0"/>
                <w:sz w:val="21"/>
                <w:szCs w:val="21"/>
              </w:rPr>
              <w:t>噪声</w:t>
            </w:r>
          </w:p>
        </w:tc>
        <w:tc>
          <w:tcPr>
            <w:tcW w:w="1163" w:type="dxa"/>
            <w:tcBorders>
              <w:tl2br w:val="nil"/>
              <w:tr2bl w:val="nil"/>
            </w:tcBorders>
            <w:vAlign w:val="center"/>
          </w:tcPr>
          <w:p>
            <w:pPr>
              <w:wordWrap/>
              <w:overflowPunct w:val="0"/>
              <w:adjustRightInd/>
              <w:snapToGrid/>
              <w:spacing w:before="0" w:after="0" w:line="300" w:lineRule="exact"/>
              <w:ind w:left="0" w:leftChars="0" w:right="0" w:firstLine="0" w:firstLineChars="0"/>
              <w:jc w:val="left"/>
              <w:textAlignment w:val="auto"/>
              <w:outlineLvl w:val="9"/>
              <w:rPr>
                <w:rFonts w:hint="eastAsia"/>
                <w:sz w:val="21"/>
                <w:szCs w:val="21"/>
              </w:rPr>
            </w:pPr>
            <w:r>
              <w:rPr>
                <w:rFonts w:hint="eastAsia"/>
                <w:sz w:val="21"/>
                <w:szCs w:val="21"/>
              </w:rPr>
              <w:t>搅拌机</w:t>
            </w:r>
            <w:r>
              <w:rPr>
                <w:rFonts w:hint="eastAsia"/>
                <w:sz w:val="21"/>
                <w:szCs w:val="21"/>
                <w:lang w:eastAsia="zh-CN"/>
              </w:rPr>
              <w:t>、</w:t>
            </w:r>
            <w:r>
              <w:rPr>
                <w:rFonts w:hint="eastAsia"/>
                <w:sz w:val="21"/>
                <w:szCs w:val="21"/>
              </w:rPr>
              <w:t>引风机</w:t>
            </w:r>
            <w:r>
              <w:rPr>
                <w:rFonts w:hint="eastAsia"/>
                <w:sz w:val="21"/>
                <w:szCs w:val="21"/>
                <w:lang w:eastAsia="zh-CN"/>
              </w:rPr>
              <w:t>、</w:t>
            </w:r>
            <w:r>
              <w:rPr>
                <w:rFonts w:hint="eastAsia"/>
                <w:sz w:val="21"/>
                <w:szCs w:val="21"/>
              </w:rPr>
              <w:t>提升机</w:t>
            </w:r>
            <w:r>
              <w:rPr>
                <w:rFonts w:hint="eastAsia"/>
                <w:sz w:val="21"/>
                <w:szCs w:val="21"/>
                <w:lang w:eastAsia="zh-CN"/>
              </w:rPr>
              <w:t>、</w:t>
            </w:r>
            <w:r>
              <w:rPr>
                <w:rFonts w:hint="eastAsia"/>
                <w:sz w:val="21"/>
                <w:szCs w:val="21"/>
              </w:rPr>
              <w:t>干燥筒</w:t>
            </w:r>
            <w:r>
              <w:rPr>
                <w:rFonts w:hint="eastAsia"/>
                <w:sz w:val="21"/>
                <w:szCs w:val="21"/>
                <w:lang w:eastAsia="zh-CN"/>
              </w:rPr>
              <w:t>、</w:t>
            </w:r>
            <w:r>
              <w:rPr>
                <w:rFonts w:hint="eastAsia"/>
                <w:sz w:val="21"/>
                <w:szCs w:val="21"/>
              </w:rPr>
              <w:t>振动筛</w:t>
            </w:r>
            <w:r>
              <w:rPr>
                <w:rFonts w:hint="eastAsia"/>
                <w:sz w:val="21"/>
                <w:szCs w:val="21"/>
                <w:lang w:eastAsia="zh-CN"/>
              </w:rPr>
              <w:t>、</w:t>
            </w:r>
            <w:r>
              <w:rPr>
                <w:rFonts w:hint="eastAsia"/>
                <w:sz w:val="21"/>
                <w:szCs w:val="21"/>
              </w:rPr>
              <w:t>混凝土搅拌站</w:t>
            </w:r>
            <w:r>
              <w:rPr>
                <w:rFonts w:hint="eastAsia"/>
                <w:sz w:val="21"/>
                <w:szCs w:val="21"/>
                <w:lang w:eastAsia="zh-CN"/>
              </w:rPr>
              <w:t>等</w:t>
            </w:r>
          </w:p>
        </w:tc>
        <w:tc>
          <w:tcPr>
            <w:tcW w:w="3838" w:type="dxa"/>
            <w:tcBorders>
              <w:tl2br w:val="nil"/>
              <w:tr2bl w:val="nil"/>
            </w:tcBorders>
            <w:vAlign w:val="center"/>
          </w:tcPr>
          <w:p>
            <w:pPr>
              <w:wordWrap/>
              <w:overflowPunct w:val="0"/>
              <w:adjustRightInd/>
              <w:snapToGrid/>
              <w:spacing w:before="0" w:after="0" w:line="300" w:lineRule="exact"/>
              <w:ind w:left="0" w:leftChars="0" w:right="0" w:firstLine="0" w:firstLineChars="0"/>
              <w:jc w:val="left"/>
              <w:textAlignment w:val="auto"/>
              <w:outlineLvl w:val="9"/>
              <w:rPr>
                <w:rFonts w:hint="eastAsia"/>
                <w:sz w:val="21"/>
                <w:szCs w:val="21"/>
              </w:rPr>
            </w:pPr>
            <w:r>
              <w:rPr>
                <w:rFonts w:hint="eastAsia"/>
                <w:sz w:val="21"/>
                <w:szCs w:val="21"/>
              </w:rPr>
              <w:t>设置安装远离敏感点、安装减振装置；设置绿化带；运输车辆限速、禁鸣</w:t>
            </w:r>
          </w:p>
        </w:tc>
        <w:tc>
          <w:tcPr>
            <w:tcW w:w="3031" w:type="dxa"/>
            <w:tcBorders>
              <w:tl2br w:val="nil"/>
              <w:tr2bl w:val="nil"/>
            </w:tcBorders>
            <w:vAlign w:val="center"/>
          </w:tcPr>
          <w:p>
            <w:pPr>
              <w:wordWrap/>
              <w:overflowPunct w:val="0"/>
              <w:adjustRightInd/>
              <w:snapToGrid/>
              <w:spacing w:before="0" w:after="0" w:line="300" w:lineRule="exact"/>
              <w:ind w:left="0" w:leftChars="0" w:right="0" w:firstLine="0" w:firstLineChars="0"/>
              <w:jc w:val="right"/>
              <w:textAlignment w:val="auto"/>
              <w:outlineLvl w:val="9"/>
              <w:rPr>
                <w:rFonts w:hAnsi="宋体"/>
                <w:kern w:val="0"/>
                <w:sz w:val="21"/>
                <w:szCs w:val="21"/>
              </w:rPr>
            </w:pPr>
            <w:r>
              <w:rPr>
                <w:rFonts w:hint="eastAsia" w:hAnsi="宋体"/>
                <w:sz w:val="21"/>
                <w:szCs w:val="21"/>
              </w:rPr>
              <w:t>与</w:t>
            </w:r>
            <w:r>
              <w:rPr>
                <w:rFonts w:hAnsi="宋体"/>
                <w:sz w:val="21"/>
                <w:szCs w:val="21"/>
              </w:rPr>
              <w:t>环评要求</w:t>
            </w:r>
            <w:r>
              <w:rPr>
                <w:rFonts w:hint="eastAsia" w:hAnsi="宋体"/>
                <w:sz w:val="21"/>
                <w:szCs w:val="21"/>
              </w:rPr>
              <w:t>一致，完成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jc w:val="center"/>
        </w:trPr>
        <w:tc>
          <w:tcPr>
            <w:tcW w:w="472" w:type="dxa"/>
            <w:tcBorders>
              <w:tl2br w:val="nil"/>
              <w:tr2bl w:val="nil"/>
            </w:tcBorders>
            <w:vAlign w:val="center"/>
          </w:tcPr>
          <w:p>
            <w:pPr>
              <w:widowControl/>
              <w:wordWrap w:val="0"/>
              <w:overflowPunct w:val="0"/>
              <w:adjustRightInd/>
              <w:snapToGrid/>
              <w:spacing w:before="0" w:after="0" w:line="300" w:lineRule="exact"/>
              <w:ind w:left="0" w:leftChars="0" w:right="0" w:firstLine="0" w:firstLineChars="0"/>
              <w:jc w:val="right"/>
              <w:textAlignment w:val="auto"/>
              <w:outlineLvl w:val="9"/>
              <w:rPr>
                <w:rFonts w:hint="eastAsia" w:hAnsi="宋体"/>
                <w:kern w:val="0"/>
                <w:sz w:val="21"/>
                <w:szCs w:val="21"/>
              </w:rPr>
            </w:pPr>
            <w:r>
              <w:rPr>
                <w:rFonts w:hint="eastAsia" w:hAnsi="宋体"/>
                <w:kern w:val="0"/>
                <w:sz w:val="21"/>
                <w:szCs w:val="21"/>
              </w:rPr>
              <w:t>生态</w:t>
            </w:r>
          </w:p>
        </w:tc>
        <w:tc>
          <w:tcPr>
            <w:tcW w:w="1163" w:type="dxa"/>
            <w:tcBorders>
              <w:tl2br w:val="nil"/>
              <w:tr2bl w:val="nil"/>
            </w:tcBorders>
            <w:vAlign w:val="center"/>
          </w:tcPr>
          <w:p>
            <w:pPr>
              <w:wordWrap w:val="0"/>
              <w:overflowPunct w:val="0"/>
              <w:adjustRightInd/>
              <w:snapToGrid/>
              <w:spacing w:before="0" w:after="0" w:line="300" w:lineRule="exact"/>
              <w:ind w:left="0" w:leftChars="0" w:right="0" w:firstLine="0" w:firstLineChars="0"/>
              <w:jc w:val="right"/>
              <w:textAlignment w:val="auto"/>
              <w:outlineLvl w:val="9"/>
              <w:rPr>
                <w:rFonts w:hint="eastAsia" w:hAnsi="宋体"/>
                <w:kern w:val="0"/>
                <w:sz w:val="21"/>
                <w:szCs w:val="21"/>
                <w:highlight w:val="none"/>
              </w:rPr>
            </w:pPr>
            <w:r>
              <w:rPr>
                <w:rFonts w:hint="eastAsia" w:hAnsi="宋体"/>
                <w:kern w:val="0"/>
                <w:sz w:val="21"/>
                <w:szCs w:val="21"/>
                <w:highlight w:val="none"/>
              </w:rPr>
              <w:t>场地绿化</w:t>
            </w:r>
          </w:p>
        </w:tc>
        <w:tc>
          <w:tcPr>
            <w:tcW w:w="3838" w:type="dxa"/>
            <w:tcBorders>
              <w:tl2br w:val="nil"/>
              <w:tr2bl w:val="nil"/>
            </w:tcBorders>
            <w:vAlign w:val="center"/>
          </w:tcPr>
          <w:p>
            <w:pPr>
              <w:wordWrap w:val="0"/>
              <w:overflowPunct w:val="0"/>
              <w:adjustRightInd/>
              <w:snapToGrid/>
              <w:spacing w:before="0" w:after="0" w:line="300" w:lineRule="exact"/>
              <w:ind w:left="0" w:leftChars="0" w:right="0" w:firstLine="0" w:firstLineChars="0"/>
              <w:jc w:val="right"/>
              <w:textAlignment w:val="auto"/>
              <w:outlineLvl w:val="9"/>
              <w:rPr>
                <w:rFonts w:hint="eastAsia" w:hAnsi="宋体" w:eastAsia="宋体"/>
                <w:kern w:val="0"/>
                <w:sz w:val="21"/>
                <w:szCs w:val="21"/>
                <w:highlight w:val="none"/>
                <w:lang w:val="en-US" w:eastAsia="zh-CN"/>
              </w:rPr>
            </w:pPr>
            <w:r>
              <w:rPr>
                <w:rFonts w:hint="eastAsia" w:hAnsi="宋体"/>
                <w:kern w:val="0"/>
                <w:sz w:val="21"/>
                <w:szCs w:val="21"/>
                <w:highlight w:val="none"/>
                <w:lang w:val="en-US" w:eastAsia="zh-CN"/>
              </w:rPr>
              <w:t>植树、种草、场地绿化20%</w:t>
            </w:r>
          </w:p>
        </w:tc>
        <w:tc>
          <w:tcPr>
            <w:tcW w:w="3031" w:type="dxa"/>
            <w:tcBorders>
              <w:tl2br w:val="nil"/>
              <w:tr2bl w:val="nil"/>
            </w:tcBorders>
            <w:vAlign w:val="center"/>
          </w:tcPr>
          <w:p>
            <w:pPr>
              <w:wordWrap w:val="0"/>
              <w:overflowPunct w:val="0"/>
              <w:adjustRightInd/>
              <w:snapToGrid/>
              <w:spacing w:before="0" w:after="0" w:line="300" w:lineRule="exact"/>
              <w:ind w:left="0" w:leftChars="0" w:right="0" w:firstLine="0" w:firstLineChars="0"/>
              <w:jc w:val="right"/>
              <w:textAlignment w:val="auto"/>
              <w:outlineLvl w:val="9"/>
              <w:rPr>
                <w:rFonts w:hint="eastAsia" w:hAnsi="宋体" w:eastAsia="宋体"/>
                <w:kern w:val="0"/>
                <w:sz w:val="21"/>
                <w:szCs w:val="21"/>
                <w:highlight w:val="none"/>
                <w:lang w:val="en-US" w:eastAsia="zh-CN"/>
              </w:rPr>
            </w:pPr>
            <w:r>
              <w:rPr>
                <w:rFonts w:hint="eastAsia" w:hAnsi="宋体"/>
                <w:kern w:val="0"/>
                <w:sz w:val="21"/>
                <w:szCs w:val="21"/>
                <w:highlight w:val="none"/>
                <w:lang w:val="en-US" w:eastAsia="zh-CN"/>
              </w:rPr>
              <w:t>绿化面积1483m</w:t>
            </w:r>
            <w:r>
              <w:rPr>
                <w:rFonts w:hint="eastAsia" w:hAnsi="宋体"/>
                <w:kern w:val="0"/>
                <w:sz w:val="21"/>
                <w:szCs w:val="21"/>
                <w:highlight w:val="none"/>
                <w:vertAlign w:val="superscript"/>
                <w:lang w:val="en-US" w:eastAsia="zh-CN"/>
              </w:rPr>
              <w:t>2</w:t>
            </w:r>
            <w:r>
              <w:rPr>
                <w:rFonts w:hint="eastAsia" w:hAnsi="宋体"/>
                <w:kern w:val="0"/>
                <w:sz w:val="21"/>
                <w:szCs w:val="21"/>
                <w:highlight w:val="none"/>
                <w:lang w:val="en-US" w:eastAsia="zh-CN"/>
              </w:rPr>
              <w:t>，绿化15%</w:t>
            </w:r>
          </w:p>
        </w:tc>
      </w:tr>
    </w:tbl>
    <w:p>
      <w:pPr>
        <w:widowControl w:val="0"/>
        <w:wordWrap w:val="0"/>
        <w:overflowPunct w:val="0"/>
        <w:adjustRightInd/>
        <w:snapToGrid/>
        <w:spacing w:before="0" w:after="0" w:line="420" w:lineRule="exact"/>
        <w:ind w:left="0" w:leftChars="0" w:right="0" w:firstLine="0" w:firstLineChars="0"/>
        <w:jc w:val="center"/>
        <w:textAlignment w:val="auto"/>
        <w:outlineLvl w:val="9"/>
        <w:rPr>
          <w:rFonts w:hint="eastAsia"/>
          <w:color w:val="auto"/>
          <w:sz w:val="21"/>
          <w:szCs w:val="21"/>
          <w:lang w:eastAsia="zh-CN"/>
        </w:rPr>
      </w:pPr>
    </w:p>
    <w:p>
      <w:pPr>
        <w:widowControl w:val="0"/>
        <w:wordWrap w:val="0"/>
        <w:overflowPunct w:val="0"/>
        <w:adjustRightInd/>
        <w:snapToGrid/>
        <w:spacing w:before="0" w:after="0" w:line="420" w:lineRule="exact"/>
        <w:ind w:left="0" w:leftChars="0" w:right="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表</w:t>
      </w:r>
      <w:r>
        <w:rPr>
          <w:rFonts w:hint="default" w:ascii="Times New Roman" w:hAnsi="Times New Roman" w:cs="Times New Roman"/>
          <w:sz w:val="21"/>
          <w:szCs w:val="21"/>
          <w:lang w:val="en-US" w:eastAsia="zh-CN"/>
        </w:rPr>
        <w:t xml:space="preserve">3  </w:t>
      </w:r>
      <w:r>
        <w:rPr>
          <w:rFonts w:hint="default" w:ascii="Times New Roman" w:hAnsi="Times New Roman" w:cs="Times New Roman"/>
          <w:sz w:val="21"/>
          <w:szCs w:val="21"/>
        </w:rPr>
        <w:t>环评</w:t>
      </w:r>
      <w:r>
        <w:rPr>
          <w:rFonts w:hint="default" w:ascii="Times New Roman" w:hAnsi="Times New Roman" w:cs="Times New Roman"/>
          <w:sz w:val="21"/>
          <w:szCs w:val="21"/>
          <w:lang w:eastAsia="zh-CN"/>
        </w:rPr>
        <w:t>批复</w:t>
      </w:r>
      <w:r>
        <w:rPr>
          <w:rFonts w:hint="default" w:ascii="Times New Roman" w:hAnsi="Times New Roman" w:cs="Times New Roman"/>
          <w:sz w:val="21"/>
          <w:szCs w:val="21"/>
        </w:rPr>
        <w:t>要求及实际</w:t>
      </w:r>
      <w:r>
        <w:rPr>
          <w:rFonts w:hint="default" w:ascii="Times New Roman" w:hAnsi="Times New Roman" w:cs="Times New Roman"/>
          <w:sz w:val="21"/>
          <w:szCs w:val="21"/>
          <w:lang w:eastAsia="zh-CN"/>
        </w:rPr>
        <w:t>落实</w:t>
      </w:r>
      <w:r>
        <w:rPr>
          <w:rFonts w:hint="default" w:ascii="Times New Roman" w:hAnsi="Times New Roman" w:cs="Times New Roman"/>
          <w:sz w:val="21"/>
          <w:szCs w:val="21"/>
        </w:rPr>
        <w:t>情况表</w:t>
      </w:r>
    </w:p>
    <w:tbl>
      <w:tblPr>
        <w:tblStyle w:val="10"/>
        <w:tblW w:w="8504" w:type="dxa"/>
        <w:jc w:val="center"/>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4757"/>
        <w:gridCol w:w="3712"/>
        <w:gridCol w:w="35"/>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 w:type="dxa"/>
          <w:trHeight w:val="615" w:hRule="exact"/>
          <w:jc w:val="center"/>
        </w:trPr>
        <w:tc>
          <w:tcPr>
            <w:tcW w:w="4757" w:type="dxa"/>
            <w:tcBorders>
              <w:tl2br w:val="nil"/>
              <w:tr2bl w:val="nil"/>
            </w:tcBorders>
            <w:vAlign w:val="center"/>
          </w:tcPr>
          <w:p>
            <w:pPr>
              <w:widowControl w:val="0"/>
              <w:wordWrap w:val="0"/>
              <w:overflowPunct w:val="0"/>
              <w:adjustRightInd/>
              <w:snapToGrid/>
              <w:spacing w:before="0" w:after="0" w:line="300" w:lineRule="exact"/>
              <w:ind w:left="0" w:leftChars="0" w:right="0" w:firstLine="0" w:firstLineChars="0"/>
              <w:jc w:val="center"/>
              <w:textAlignment w:val="auto"/>
              <w:outlineLvl w:val="9"/>
              <w:rPr>
                <w:sz w:val="21"/>
                <w:szCs w:val="21"/>
              </w:rPr>
            </w:pPr>
            <w:r>
              <w:rPr>
                <w:rFonts w:hint="eastAsia"/>
                <w:sz w:val="21"/>
                <w:szCs w:val="21"/>
              </w:rPr>
              <w:t>审批要求</w:t>
            </w:r>
          </w:p>
        </w:tc>
        <w:tc>
          <w:tcPr>
            <w:tcW w:w="3712" w:type="dxa"/>
            <w:tcBorders>
              <w:tl2br w:val="nil"/>
              <w:tr2bl w:val="nil"/>
            </w:tcBorders>
            <w:vAlign w:val="center"/>
          </w:tcPr>
          <w:p>
            <w:pPr>
              <w:widowControl w:val="0"/>
              <w:wordWrap w:val="0"/>
              <w:overflowPunct w:val="0"/>
              <w:adjustRightInd/>
              <w:snapToGrid/>
              <w:spacing w:before="0" w:after="0" w:line="300" w:lineRule="exact"/>
              <w:ind w:left="0" w:leftChars="0" w:right="0" w:firstLine="0" w:firstLineChars="0"/>
              <w:jc w:val="center"/>
              <w:textAlignment w:val="auto"/>
              <w:outlineLvl w:val="9"/>
              <w:rPr>
                <w:sz w:val="21"/>
                <w:szCs w:val="21"/>
              </w:rPr>
            </w:pPr>
            <w:r>
              <w:rPr>
                <w:sz w:val="21"/>
                <w:szCs w:val="21"/>
              </w:rPr>
              <w:t>完成情况</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 w:type="dxa"/>
          <w:trHeight w:val="3938" w:hRule="exact"/>
          <w:jc w:val="center"/>
        </w:trPr>
        <w:tc>
          <w:tcPr>
            <w:tcW w:w="4757" w:type="dxa"/>
            <w:tcBorders>
              <w:tl2br w:val="nil"/>
              <w:tr2bl w:val="nil"/>
            </w:tcBorders>
            <w:shd w:val="clear" w:color="auto" w:fill="FFFFFF"/>
            <w:vAlign w:val="center"/>
          </w:tcPr>
          <w:p>
            <w:pPr>
              <w:widowControl w:val="0"/>
              <w:wordWrap w:val="0"/>
              <w:overflowPunct w:val="0"/>
              <w:adjustRightInd/>
              <w:snapToGrid/>
              <w:spacing w:before="0" w:after="0" w:line="300" w:lineRule="exact"/>
              <w:ind w:left="0" w:leftChars="0" w:right="0" w:firstLine="0" w:firstLineChars="0"/>
              <w:textAlignment w:val="auto"/>
              <w:outlineLvl w:val="9"/>
              <w:rPr>
                <w:rFonts w:hint="eastAsia"/>
                <w:sz w:val="21"/>
                <w:szCs w:val="21"/>
              </w:rPr>
            </w:pPr>
            <w:r>
              <w:rPr>
                <w:rFonts w:hint="eastAsia"/>
                <w:sz w:val="21"/>
                <w:szCs w:val="21"/>
              </w:rPr>
              <w:t>你公司拟在绛县大交镇么头村东0.5km处，建设大交沥青搅拌站项目。本项目以碎石、砂、沥青和水泥为原料，采用集装箱式沥青混合料搅拌设备和水泥稳定土搅拌设备。项目的工艺流程为沥青砼生产工艺和水泥稳定土生产工艺，该项目以绛发改备案【2012】13号文予以备案，符合国家产业政策和绛县总体规划的要求。在严格落实“报告表”提出的各项环境保护对策措施的情况下，可做到污染物达标排放，并满足当地污染物排放总量控制指标要求，我局同意你公司按照“报告表”所确认的建设项目性质、规模、地点、生产工艺、污染防治措施进行建设。</w:t>
            </w:r>
          </w:p>
        </w:tc>
        <w:tc>
          <w:tcPr>
            <w:tcW w:w="3712" w:type="dxa"/>
            <w:tcBorders>
              <w:tl2br w:val="nil"/>
              <w:tr2bl w:val="nil"/>
            </w:tcBorders>
            <w:shd w:val="clear" w:color="auto" w:fill="FFFFFF"/>
            <w:vAlign w:val="center"/>
          </w:tcPr>
          <w:p>
            <w:pPr>
              <w:widowControl w:val="0"/>
              <w:wordWrap w:val="0"/>
              <w:overflowPunct w:val="0"/>
              <w:adjustRightInd/>
              <w:snapToGrid/>
              <w:spacing w:before="0" w:after="0" w:line="300" w:lineRule="exact"/>
              <w:ind w:left="0" w:leftChars="0" w:right="0" w:firstLine="0" w:firstLineChars="0"/>
              <w:jc w:val="center"/>
              <w:textAlignment w:val="auto"/>
              <w:outlineLvl w:val="9"/>
              <w:rPr>
                <w:rFonts w:hint="eastAsia"/>
                <w:kern w:val="0"/>
                <w:sz w:val="21"/>
                <w:szCs w:val="21"/>
              </w:rPr>
            </w:pPr>
            <w:r>
              <w:rPr>
                <w:rFonts w:hint="eastAsia"/>
                <w:kern w:val="0"/>
                <w:sz w:val="21"/>
                <w:szCs w:val="21"/>
              </w:rPr>
              <w:t>_____</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 w:type="dxa"/>
          <w:trHeight w:val="2637" w:hRule="atLeast"/>
          <w:jc w:val="center"/>
        </w:trPr>
        <w:tc>
          <w:tcPr>
            <w:tcW w:w="4757" w:type="dxa"/>
            <w:tcBorders>
              <w:tl2br w:val="nil"/>
              <w:tr2bl w:val="nil"/>
            </w:tcBorders>
            <w:vAlign w:val="center"/>
          </w:tcPr>
          <w:p>
            <w:pPr>
              <w:widowControl w:val="0"/>
              <w:wordWrap w:val="0"/>
              <w:overflowPunct w:val="0"/>
              <w:adjustRightInd/>
              <w:snapToGrid/>
              <w:spacing w:before="0" w:after="0" w:line="300" w:lineRule="exact"/>
              <w:ind w:left="0" w:leftChars="0" w:right="0" w:firstLine="0" w:firstLineChars="0"/>
              <w:textAlignment w:val="auto"/>
              <w:outlineLvl w:val="9"/>
              <w:rPr>
                <w:rFonts w:hint="eastAsia"/>
                <w:sz w:val="21"/>
                <w:szCs w:val="21"/>
              </w:rPr>
            </w:pPr>
            <w:r>
              <w:rPr>
                <w:rFonts w:hint="eastAsia"/>
                <w:sz w:val="21"/>
                <w:szCs w:val="21"/>
              </w:rPr>
              <w:t>在本项目的设计和建设中，要重点做好以下工作:</w:t>
            </w:r>
          </w:p>
          <w:p>
            <w:pPr>
              <w:widowControl w:val="0"/>
              <w:wordWrap w:val="0"/>
              <w:overflowPunct w:val="0"/>
              <w:adjustRightInd/>
              <w:snapToGrid/>
              <w:spacing w:before="0" w:after="0" w:line="300" w:lineRule="exact"/>
              <w:ind w:left="0" w:leftChars="0" w:right="0" w:firstLine="0" w:firstLineChars="0"/>
              <w:textAlignment w:val="auto"/>
              <w:outlineLvl w:val="9"/>
              <w:rPr>
                <w:rFonts w:hint="eastAsia"/>
                <w:sz w:val="21"/>
                <w:szCs w:val="21"/>
              </w:rPr>
            </w:pPr>
            <w:r>
              <w:rPr>
                <w:rFonts w:hint="eastAsia"/>
                <w:sz w:val="21"/>
                <w:szCs w:val="21"/>
              </w:rPr>
              <w:t>1本项目的大气污染物主要是粉尘、烟尘、</w:t>
            </w:r>
          </w:p>
          <w:p>
            <w:pPr>
              <w:widowControl w:val="0"/>
              <w:wordWrap w:val="0"/>
              <w:overflowPunct w:val="0"/>
              <w:adjustRightInd/>
              <w:snapToGrid/>
              <w:spacing w:before="0" w:after="0" w:line="300" w:lineRule="exact"/>
              <w:ind w:left="0" w:leftChars="0" w:right="0" w:firstLine="0" w:firstLineChars="0"/>
              <w:textAlignment w:val="auto"/>
              <w:outlineLvl w:val="9"/>
              <w:rPr>
                <w:rFonts w:hint="eastAsia"/>
                <w:sz w:val="21"/>
                <w:szCs w:val="21"/>
              </w:rPr>
            </w:pPr>
            <w:r>
              <w:rPr>
                <w:rFonts w:hint="eastAsia"/>
                <w:sz w:val="21"/>
                <w:szCs w:val="21"/>
              </w:rPr>
              <w:t>SO</w:t>
            </w:r>
            <w:r>
              <w:rPr>
                <w:rFonts w:hint="eastAsia"/>
                <w:sz w:val="21"/>
                <w:szCs w:val="21"/>
                <w:vertAlign w:val="subscript"/>
              </w:rPr>
              <w:t>2</w:t>
            </w:r>
            <w:r>
              <w:rPr>
                <w:rFonts w:hint="eastAsia"/>
                <w:sz w:val="21"/>
                <w:szCs w:val="21"/>
              </w:rPr>
              <w:t>、NO</w:t>
            </w:r>
            <w:r>
              <w:rPr>
                <w:rFonts w:hint="eastAsia"/>
                <w:sz w:val="21"/>
                <w:szCs w:val="21"/>
                <w:vertAlign w:val="subscript"/>
              </w:rPr>
              <w:t>X</w:t>
            </w:r>
            <w:r>
              <w:rPr>
                <w:rFonts w:hint="eastAsia"/>
                <w:sz w:val="21"/>
                <w:szCs w:val="21"/>
              </w:rPr>
              <w:t>、在石料、石粉堆场四周设2米高围墙+5米高挡风抑尘网；水泥存放在全封闭水泥储罐，装卸在风速较小时装运，并进行洒水降尘，沥青烟进行集气装置+活性炭吸附装置处理。干燥筒废气经重力除尘器+布袋除尘器处理后排放，各工段污染物排放量要达到“报告表”的规定。</w:t>
            </w:r>
          </w:p>
        </w:tc>
        <w:tc>
          <w:tcPr>
            <w:tcW w:w="3712" w:type="dxa"/>
            <w:tcBorders>
              <w:tl2br w:val="nil"/>
              <w:tr2bl w:val="nil"/>
            </w:tcBorders>
            <w:vAlign w:val="center"/>
          </w:tcPr>
          <w:p>
            <w:pPr>
              <w:widowControl w:val="0"/>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沥青烟</w:t>
            </w:r>
            <w:r>
              <w:rPr>
                <w:rFonts w:hint="eastAsia"/>
                <w:sz w:val="21"/>
                <w:szCs w:val="21"/>
                <w:lang w:val="en-US" w:eastAsia="zh-CN"/>
              </w:rPr>
              <w:t>通过水浴除尘+活性炭吸附处理最后通过重力除尘+布袋除尘。其余</w:t>
            </w:r>
            <w:r>
              <w:rPr>
                <w:rFonts w:hint="eastAsia"/>
                <w:sz w:val="21"/>
                <w:szCs w:val="21"/>
              </w:rPr>
              <w:t>与环评批复要求一致，完成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 w:type="dxa"/>
          <w:trHeight w:val="1175" w:hRule="atLeast"/>
          <w:jc w:val="center"/>
        </w:trPr>
        <w:tc>
          <w:tcPr>
            <w:tcW w:w="4757" w:type="dxa"/>
            <w:tcBorders>
              <w:tl2br w:val="nil"/>
              <w:tr2bl w:val="nil"/>
            </w:tcBorders>
            <w:vAlign w:val="center"/>
          </w:tcPr>
          <w:p>
            <w:pPr>
              <w:widowControl w:val="0"/>
              <w:wordWrap w:val="0"/>
              <w:overflowPunct w:val="0"/>
              <w:adjustRightInd/>
              <w:snapToGrid/>
              <w:spacing w:before="0" w:after="0" w:line="300" w:lineRule="exact"/>
              <w:ind w:left="0" w:leftChars="0" w:right="0" w:firstLine="0" w:firstLineChars="0"/>
              <w:textAlignment w:val="auto"/>
              <w:outlineLvl w:val="9"/>
              <w:rPr>
                <w:rFonts w:hint="eastAsia"/>
                <w:sz w:val="21"/>
                <w:szCs w:val="21"/>
              </w:rPr>
            </w:pPr>
            <w:r>
              <w:rPr>
                <w:rFonts w:hint="eastAsia"/>
                <w:sz w:val="21"/>
                <w:szCs w:val="21"/>
              </w:rPr>
              <w:t>2本项目产生的废水主要是汽车冲洗废水和生活污水。汽车冲洗废水沉淀后循环利用；生活污水经沉淀后用于场地洒水。</w:t>
            </w:r>
          </w:p>
        </w:tc>
        <w:tc>
          <w:tcPr>
            <w:tcW w:w="3712" w:type="dxa"/>
            <w:tcBorders>
              <w:tl2br w:val="nil"/>
              <w:tr2bl w:val="nil"/>
            </w:tcBorders>
            <w:vAlign w:val="center"/>
          </w:tcPr>
          <w:p>
            <w:pPr>
              <w:widowControl w:val="0"/>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环评批复要求一致，完成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193" w:hRule="exact"/>
          <w:jc w:val="center"/>
        </w:trPr>
        <w:tc>
          <w:tcPr>
            <w:tcW w:w="4757" w:type="dxa"/>
            <w:tcBorders>
              <w:tl2br w:val="nil"/>
              <w:tr2bl w:val="nil"/>
            </w:tcBorders>
            <w:shd w:val="clear" w:color="auto" w:fill="FFFFFF"/>
            <w:vAlign w:val="center"/>
          </w:tcPr>
          <w:p>
            <w:pPr>
              <w:widowControl w:val="0"/>
              <w:wordWrap w:val="0"/>
              <w:overflowPunct w:val="0"/>
              <w:adjustRightInd/>
              <w:snapToGrid/>
              <w:spacing w:before="0" w:after="0" w:line="300" w:lineRule="exact"/>
              <w:ind w:left="0" w:leftChars="0" w:right="0" w:firstLine="0" w:firstLineChars="0"/>
              <w:textAlignment w:val="auto"/>
              <w:outlineLvl w:val="9"/>
              <w:rPr>
                <w:rFonts w:hint="eastAsia"/>
                <w:sz w:val="21"/>
                <w:szCs w:val="21"/>
              </w:rPr>
            </w:pPr>
            <w:r>
              <w:rPr>
                <w:rFonts w:hint="eastAsia"/>
                <w:sz w:val="21"/>
                <w:szCs w:val="21"/>
              </w:rPr>
              <w:t>3本项目产生的固体废物主要为生产固废和生活垃圾。废石料用于铺路或由石料供应商回收破损后重新利用；除尘灰统一收集返回原料工段用作生产原料；滴漏沥青及拌合残渣在泄露处用专用容器接装，并回收利用；废活性炭收集后委托有资质的单位回收处理；生活垃圾统一收集后送当地环卫部门进行填埋处理。</w:t>
            </w:r>
          </w:p>
        </w:tc>
        <w:tc>
          <w:tcPr>
            <w:tcW w:w="3747" w:type="dxa"/>
            <w:gridSpan w:val="2"/>
            <w:tcBorders>
              <w:tl2br w:val="nil"/>
              <w:tr2bl w:val="nil"/>
            </w:tcBorders>
            <w:shd w:val="clear" w:color="auto" w:fill="FFFFFF"/>
            <w:vAlign w:val="center"/>
          </w:tcPr>
          <w:p>
            <w:pPr>
              <w:widowControl w:val="0"/>
              <w:wordWrap w:val="0"/>
              <w:overflowPunct w:val="0"/>
              <w:adjustRightInd/>
              <w:snapToGrid/>
              <w:spacing w:before="0" w:after="0" w:line="300" w:lineRule="exact"/>
              <w:ind w:left="0" w:leftChars="0" w:right="0" w:firstLine="0" w:firstLineChars="0"/>
              <w:jc w:val="center"/>
              <w:textAlignment w:val="auto"/>
              <w:outlineLvl w:val="9"/>
              <w:rPr>
                <w:kern w:val="0"/>
                <w:sz w:val="21"/>
                <w:szCs w:val="21"/>
              </w:rPr>
            </w:pPr>
            <w:r>
              <w:rPr>
                <w:rFonts w:hint="eastAsia"/>
                <w:sz w:val="21"/>
                <w:szCs w:val="21"/>
              </w:rPr>
              <w:t>与环评批复要求一致，完成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1105" w:hRule="exact"/>
          <w:jc w:val="center"/>
        </w:trPr>
        <w:tc>
          <w:tcPr>
            <w:tcW w:w="4757" w:type="dxa"/>
            <w:tcBorders>
              <w:tl2br w:val="nil"/>
              <w:tr2bl w:val="nil"/>
            </w:tcBorders>
            <w:shd w:val="clear" w:color="auto" w:fill="FFFFFF"/>
            <w:vAlign w:val="center"/>
          </w:tcPr>
          <w:p>
            <w:pPr>
              <w:widowControl w:val="0"/>
              <w:wordWrap w:val="0"/>
              <w:overflowPunct w:val="0"/>
              <w:adjustRightInd/>
              <w:snapToGrid/>
              <w:spacing w:before="0" w:after="0" w:line="300" w:lineRule="exact"/>
              <w:ind w:left="0" w:leftChars="0" w:right="0" w:firstLine="0" w:firstLineChars="0"/>
              <w:textAlignment w:val="auto"/>
              <w:outlineLvl w:val="9"/>
              <w:rPr>
                <w:rFonts w:hint="eastAsia"/>
                <w:sz w:val="21"/>
                <w:szCs w:val="21"/>
              </w:rPr>
            </w:pPr>
            <w:r>
              <w:rPr>
                <w:rFonts w:hint="eastAsia"/>
                <w:sz w:val="21"/>
                <w:szCs w:val="21"/>
              </w:rPr>
              <w:t>4本项目产生的噪声主要是搅拌器、引风机、提升机、干燥筒、振动筛、运输车辆等设备。设备安装远离敏感点、安装减振装置；设置绿化带；运输车辆限速、禁鸣。</w:t>
            </w:r>
          </w:p>
          <w:p>
            <w:pPr>
              <w:widowControl w:val="0"/>
              <w:wordWrap w:val="0"/>
              <w:overflowPunct w:val="0"/>
              <w:adjustRightInd/>
              <w:snapToGrid/>
              <w:spacing w:before="0" w:after="0" w:line="300" w:lineRule="exact"/>
              <w:ind w:left="0" w:leftChars="0" w:right="0" w:firstLine="0" w:firstLineChars="0"/>
              <w:textAlignment w:val="auto"/>
              <w:outlineLvl w:val="9"/>
              <w:rPr>
                <w:rFonts w:hint="eastAsia"/>
                <w:sz w:val="21"/>
                <w:szCs w:val="21"/>
              </w:rPr>
            </w:pPr>
          </w:p>
        </w:tc>
        <w:tc>
          <w:tcPr>
            <w:tcW w:w="3747" w:type="dxa"/>
            <w:gridSpan w:val="2"/>
            <w:tcBorders>
              <w:tl2br w:val="nil"/>
              <w:tr2bl w:val="nil"/>
            </w:tcBorders>
            <w:shd w:val="clear" w:color="auto" w:fill="FFFFFF"/>
            <w:vAlign w:val="center"/>
          </w:tcPr>
          <w:p>
            <w:pPr>
              <w:widowControl w:val="0"/>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与环评批复要求一致，完成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754" w:hRule="exact"/>
          <w:jc w:val="center"/>
        </w:trPr>
        <w:tc>
          <w:tcPr>
            <w:tcW w:w="4757" w:type="dxa"/>
            <w:tcBorders>
              <w:tl2br w:val="nil"/>
              <w:tr2bl w:val="nil"/>
            </w:tcBorders>
            <w:shd w:val="clear" w:color="auto" w:fill="FFFFFF"/>
            <w:vAlign w:val="center"/>
          </w:tcPr>
          <w:p>
            <w:pPr>
              <w:widowControl w:val="0"/>
              <w:wordWrap w:val="0"/>
              <w:overflowPunct w:val="0"/>
              <w:adjustRightInd/>
              <w:snapToGrid/>
              <w:spacing w:before="0" w:after="0" w:line="300" w:lineRule="exact"/>
              <w:ind w:left="0" w:leftChars="0" w:right="0" w:firstLine="0" w:firstLineChars="0"/>
              <w:textAlignment w:val="auto"/>
              <w:outlineLvl w:val="9"/>
              <w:rPr>
                <w:rFonts w:hint="eastAsia"/>
                <w:sz w:val="21"/>
                <w:szCs w:val="21"/>
              </w:rPr>
            </w:pPr>
            <w:r>
              <w:rPr>
                <w:rFonts w:hint="eastAsia"/>
                <w:sz w:val="21"/>
                <w:szCs w:val="21"/>
              </w:rPr>
              <w:t>5在生态保护方面，加强对厂区内厂区周边环境绿化、美化，从而起到阻尘降噪作用。</w:t>
            </w:r>
          </w:p>
        </w:tc>
        <w:tc>
          <w:tcPr>
            <w:tcW w:w="3747" w:type="dxa"/>
            <w:gridSpan w:val="2"/>
            <w:tcBorders>
              <w:tl2br w:val="nil"/>
              <w:tr2bl w:val="nil"/>
            </w:tcBorders>
            <w:shd w:val="clear" w:color="auto" w:fill="FFFFFF"/>
            <w:vAlign w:val="center"/>
          </w:tcPr>
          <w:p>
            <w:pPr>
              <w:widowControl w:val="0"/>
              <w:wordWrap w:val="0"/>
              <w:overflowPunct w:val="0"/>
              <w:adjustRightInd/>
              <w:snapToGrid/>
              <w:spacing w:before="0" w:after="0" w:line="300" w:lineRule="exact"/>
              <w:ind w:left="0" w:leftChars="0" w:right="0" w:firstLine="0" w:firstLineChars="0"/>
              <w:jc w:val="center"/>
              <w:textAlignment w:val="auto"/>
              <w:outlineLvl w:val="9"/>
              <w:rPr>
                <w:rFonts w:hint="eastAsia"/>
                <w:sz w:val="21"/>
                <w:szCs w:val="21"/>
              </w:rPr>
            </w:pPr>
            <w:r>
              <w:rPr>
                <w:rFonts w:hint="eastAsia"/>
                <w:sz w:val="21"/>
                <w:szCs w:val="21"/>
              </w:rPr>
              <w:t>与环评批复要求一致，完成</w:t>
            </w:r>
          </w:p>
        </w:tc>
      </w:tr>
    </w:tbl>
    <w:p>
      <w:pPr>
        <w:widowControl w:val="0"/>
        <w:wordWrap w:val="0"/>
        <w:overflowPunct w:val="0"/>
        <w:adjustRightInd/>
        <w:snapToGrid/>
        <w:spacing w:before="0" w:after="0" w:line="420" w:lineRule="exact"/>
        <w:ind w:left="0" w:leftChars="0" w:right="0" w:firstLine="0" w:firstLineChars="0"/>
        <w:jc w:val="center"/>
        <w:textAlignment w:val="auto"/>
        <w:outlineLvl w:val="9"/>
        <w:rPr>
          <w:rFonts w:hint="eastAsia"/>
          <w:color w:val="auto"/>
          <w:sz w:val="21"/>
          <w:szCs w:val="21"/>
          <w:lang w:eastAsia="zh-CN"/>
        </w:rPr>
      </w:pPr>
    </w:p>
    <w:p>
      <w:pPr>
        <w:widowControl w:val="0"/>
        <w:wordWrap w:val="0"/>
        <w:overflowPunct w:val="0"/>
        <w:adjustRightInd/>
        <w:snapToGrid/>
        <w:spacing w:before="0" w:after="0" w:line="420" w:lineRule="exact"/>
        <w:ind w:left="0" w:leftChars="0" w:right="0" w:firstLine="0" w:firstLineChars="0"/>
        <w:jc w:val="center"/>
        <w:textAlignment w:val="auto"/>
        <w:outlineLvl w:val="9"/>
        <w:rPr>
          <w:rFonts w:hint="eastAsia"/>
          <w:color w:val="auto"/>
          <w:sz w:val="21"/>
          <w:szCs w:val="21"/>
          <w:lang w:eastAsia="zh-CN"/>
        </w:rPr>
      </w:pPr>
    </w:p>
    <w:p>
      <w:pPr>
        <w:widowControl w:val="0"/>
        <w:adjustRightInd/>
        <w:snapToGrid/>
        <w:spacing w:before="0" w:after="0" w:line="420" w:lineRule="exact"/>
        <w:ind w:left="0" w:leftChars="0" w:right="0" w:firstLine="480" w:firstLineChars="200"/>
        <w:textAlignment w:val="auto"/>
        <w:outlineLvl w:val="9"/>
        <w:rPr>
          <w:sz w:val="24"/>
          <w:szCs w:val="24"/>
        </w:rPr>
      </w:pPr>
      <w:r>
        <w:rPr>
          <w:rFonts w:hint="eastAsia"/>
          <w:sz w:val="24"/>
          <w:szCs w:val="24"/>
          <w:lang w:eastAsia="zh-CN"/>
        </w:rPr>
        <w:t>三</w:t>
      </w:r>
      <w:r>
        <w:rPr>
          <w:rFonts w:hint="eastAsia"/>
          <w:sz w:val="24"/>
          <w:szCs w:val="24"/>
        </w:rPr>
        <w:t>、工程变动情况</w:t>
      </w:r>
    </w:p>
    <w:p>
      <w:pPr>
        <w:widowControl w:val="0"/>
        <w:adjustRightInd/>
        <w:snapToGrid/>
        <w:spacing w:before="0" w:after="0" w:line="420" w:lineRule="exact"/>
        <w:ind w:left="0" w:leftChars="0" w:right="0" w:firstLine="480" w:firstLineChars="200"/>
        <w:textAlignment w:val="auto"/>
        <w:outlineLvl w:val="9"/>
        <w:rPr>
          <w:color w:val="auto"/>
          <w:sz w:val="24"/>
          <w:szCs w:val="24"/>
        </w:rPr>
      </w:pPr>
      <w:r>
        <w:rPr>
          <w:rFonts w:hint="eastAsia"/>
          <w:color w:val="auto"/>
          <w:sz w:val="24"/>
          <w:szCs w:val="24"/>
        </w:rPr>
        <w:t>本项目自环评报告表审批至今，项目的性质、规模、地点、采取的生产工艺和污染防治措施均没有发生重大变动。</w:t>
      </w:r>
    </w:p>
    <w:p>
      <w:pPr>
        <w:widowControl w:val="0"/>
        <w:numPr>
          <w:ilvl w:val="0"/>
          <w:numId w:val="0"/>
        </w:numPr>
        <w:adjustRightInd/>
        <w:snapToGrid/>
        <w:spacing w:before="0" w:after="0" w:line="420" w:lineRule="exact"/>
        <w:ind w:leftChars="200" w:right="0"/>
        <w:textAlignment w:val="auto"/>
        <w:outlineLvl w:val="9"/>
        <w:rPr>
          <w:sz w:val="24"/>
          <w:szCs w:val="24"/>
        </w:rPr>
      </w:pPr>
      <w:r>
        <w:rPr>
          <w:rFonts w:hint="eastAsia"/>
          <w:sz w:val="24"/>
          <w:szCs w:val="24"/>
          <w:lang w:eastAsia="zh-CN"/>
        </w:rPr>
        <w:t>四、</w:t>
      </w:r>
      <w:r>
        <w:rPr>
          <w:rFonts w:hint="eastAsia"/>
          <w:sz w:val="24"/>
          <w:szCs w:val="24"/>
        </w:rPr>
        <w:t>环境保护设施建设情况</w:t>
      </w:r>
    </w:p>
    <w:p>
      <w:pPr>
        <w:widowControl w:val="0"/>
        <w:numPr>
          <w:ilvl w:val="0"/>
          <w:numId w:val="0"/>
        </w:numPr>
        <w:wordWrap w:val="0"/>
        <w:overflowPunct w:val="0"/>
        <w:adjustRightInd/>
        <w:snapToGrid/>
        <w:spacing w:before="0" w:after="0" w:line="420" w:lineRule="exact"/>
        <w:ind w:left="0" w:leftChars="0" w:right="0" w:firstLine="480" w:firstLineChars="200"/>
        <w:jc w:val="left"/>
        <w:textAlignment w:val="auto"/>
        <w:outlineLvl w:val="9"/>
        <w:rPr>
          <w:color w:val="000000" w:themeColor="text1"/>
          <w:sz w:val="24"/>
          <w:szCs w:val="24"/>
        </w:rPr>
      </w:pPr>
      <w:r>
        <w:rPr>
          <w:rFonts w:hint="eastAsia"/>
          <w:color w:val="000000" w:themeColor="text1"/>
          <w:sz w:val="24"/>
          <w:szCs w:val="24"/>
          <w:lang w:val="en-US" w:eastAsia="zh-CN"/>
        </w:rPr>
        <w:t>1、</w:t>
      </w:r>
      <w:r>
        <w:rPr>
          <w:rFonts w:hint="eastAsia"/>
          <w:color w:val="000000" w:themeColor="text1"/>
          <w:sz w:val="24"/>
          <w:szCs w:val="24"/>
        </w:rPr>
        <w:t>废气</w:t>
      </w:r>
    </w:p>
    <w:p>
      <w:pPr>
        <w:snapToGrid w:val="0"/>
        <w:spacing w:line="360" w:lineRule="auto"/>
        <w:ind w:firstLine="560" w:firstLineChars="200"/>
        <w:rPr>
          <w:rFonts w:hint="default" w:eastAsia="Times New Roman"/>
          <w:sz w:val="28"/>
        </w:rPr>
      </w:pPr>
      <w:r>
        <w:rPr>
          <w:rFonts w:hint="default"/>
          <w:sz w:val="28"/>
        </w:rPr>
        <w:t>(1)</w:t>
      </w:r>
      <w:r>
        <w:rPr>
          <w:rFonts w:hint="eastAsia"/>
          <w:sz w:val="28"/>
        </w:rPr>
        <w:t>石料、石粉及水泥堆存装、卸产、提升、输送和振动筛分生粉尘运输车辆产生扬尘防止措施如下：</w:t>
      </w:r>
    </w:p>
    <w:p>
      <w:pPr>
        <w:snapToGrid w:val="0"/>
        <w:spacing w:line="360" w:lineRule="auto"/>
        <w:ind w:firstLine="560" w:firstLineChars="200"/>
        <w:jc w:val="left"/>
        <w:rPr>
          <w:rFonts w:hint="default" w:eastAsia="Times New Roman"/>
          <w:sz w:val="28"/>
        </w:rPr>
      </w:pPr>
      <w:r>
        <w:rPr>
          <w:rFonts w:hint="eastAsia"/>
          <w:sz w:val="28"/>
        </w:rPr>
        <w:t>石料、石粉堆场防风抑尘网，在堆场四周建</w:t>
      </w:r>
      <w:r>
        <w:rPr>
          <w:rFonts w:hint="default"/>
          <w:sz w:val="28"/>
        </w:rPr>
        <w:t>2m</w:t>
      </w:r>
      <w:r>
        <w:rPr>
          <w:rFonts w:hint="eastAsia"/>
          <w:sz w:val="28"/>
        </w:rPr>
        <w:t>高围墙，并上焊</w:t>
      </w:r>
      <w:r>
        <w:rPr>
          <w:rFonts w:hint="default"/>
          <w:sz w:val="28"/>
        </w:rPr>
        <w:t xml:space="preserve">  </w:t>
      </w:r>
      <w:r>
        <w:rPr>
          <w:rFonts w:hint="eastAsia"/>
          <w:sz w:val="28"/>
        </w:rPr>
        <w:t>钢结构安装</w:t>
      </w:r>
      <w:r>
        <w:rPr>
          <w:rFonts w:hint="default"/>
          <w:sz w:val="28"/>
        </w:rPr>
        <w:t>5m</w:t>
      </w:r>
      <w:r>
        <w:rPr>
          <w:rFonts w:hint="eastAsia"/>
          <w:sz w:val="28"/>
        </w:rPr>
        <w:t>高挡风抑尘网，周长</w:t>
      </w:r>
      <w:r>
        <w:rPr>
          <w:rFonts w:hint="default"/>
          <w:sz w:val="28"/>
        </w:rPr>
        <w:t>360m</w:t>
      </w:r>
      <w:r>
        <w:rPr>
          <w:rFonts w:hint="eastAsia"/>
          <w:sz w:val="28"/>
        </w:rPr>
        <w:t>，挡风网高于堆料高</w:t>
      </w:r>
      <w:r>
        <w:rPr>
          <w:rFonts w:hint="default"/>
          <w:sz w:val="28"/>
        </w:rPr>
        <w:t>3m</w:t>
      </w:r>
      <w:r>
        <w:rPr>
          <w:rFonts w:hint="eastAsia"/>
          <w:sz w:val="28"/>
        </w:rPr>
        <w:t>，材料为玻璃钢。</w:t>
      </w:r>
    </w:p>
    <w:p>
      <w:pPr>
        <w:snapToGrid w:val="0"/>
        <w:spacing w:line="360" w:lineRule="auto"/>
        <w:ind w:firstLine="560" w:firstLineChars="200"/>
        <w:rPr>
          <w:rFonts w:hint="default" w:eastAsia="Times New Roman"/>
          <w:sz w:val="28"/>
        </w:rPr>
      </w:pPr>
      <w:r>
        <w:rPr>
          <w:rFonts w:hint="eastAsia"/>
          <w:sz w:val="28"/>
        </w:rPr>
        <w:t>水泥储罐为全封闭结构，故水泥在堆存过程中基本不产尘。</w:t>
      </w:r>
    </w:p>
    <w:p>
      <w:pPr>
        <w:snapToGrid w:val="0"/>
        <w:spacing w:line="360" w:lineRule="auto"/>
        <w:rPr>
          <w:rFonts w:hint="default" w:eastAsia="Times New Roman"/>
          <w:sz w:val="28"/>
        </w:rPr>
      </w:pPr>
      <w:r>
        <w:rPr>
          <w:rFonts w:hint="default"/>
          <w:sz w:val="28"/>
        </w:rPr>
        <w:t xml:space="preserve">   </w:t>
      </w:r>
      <w:r>
        <w:rPr>
          <w:rFonts w:hint="eastAsia"/>
          <w:sz w:val="28"/>
        </w:rPr>
        <w:t>石料、石粉输送采用皮带输送机，提升机、皮带输送机和振动筛均为封闭系统。</w:t>
      </w:r>
    </w:p>
    <w:p>
      <w:pPr>
        <w:snapToGrid w:val="0"/>
        <w:spacing w:line="360" w:lineRule="auto"/>
        <w:rPr>
          <w:rFonts w:hint="default" w:eastAsia="Times New Roman"/>
          <w:sz w:val="28"/>
        </w:rPr>
      </w:pPr>
      <w:r>
        <w:rPr>
          <w:rFonts w:hint="default"/>
          <w:sz w:val="28"/>
        </w:rPr>
        <w:t xml:space="preserve">   </w:t>
      </w:r>
      <w:r>
        <w:rPr>
          <w:rFonts w:hint="eastAsia"/>
          <w:sz w:val="28"/>
        </w:rPr>
        <w:t>（</w:t>
      </w:r>
      <w:r>
        <w:rPr>
          <w:rFonts w:hint="default"/>
          <w:sz w:val="28"/>
        </w:rPr>
        <w:t>2</w:t>
      </w:r>
      <w:r>
        <w:rPr>
          <w:rFonts w:hint="eastAsia"/>
          <w:sz w:val="28"/>
        </w:rPr>
        <w:t>）车辆运输产生的扬尘防治措施：通过限制车辆行驶速度和保持路面清洁来减少汽车扬尘，定时的洒水。</w:t>
      </w:r>
    </w:p>
    <w:p>
      <w:pPr>
        <w:snapToGrid w:val="0"/>
        <w:spacing w:line="360" w:lineRule="auto"/>
        <w:ind w:firstLine="560" w:firstLineChars="200"/>
        <w:rPr>
          <w:rFonts w:hint="default" w:eastAsia="Times New Roman"/>
          <w:b/>
          <w:sz w:val="28"/>
        </w:rPr>
      </w:pPr>
      <w:r>
        <w:rPr>
          <w:rFonts w:hint="default"/>
          <w:sz w:val="28"/>
        </w:rPr>
        <w:t>(3)</w:t>
      </w:r>
      <w:r>
        <w:rPr>
          <w:rFonts w:hint="eastAsia"/>
          <w:sz w:val="28"/>
        </w:rPr>
        <w:t>成品出料过程产生的沥青烟和出料口处散发的气体防治措施：放料口建有集气罩收集沥青烟和出料口散发的气体，通过水浴处理</w:t>
      </w:r>
      <w:r>
        <w:rPr>
          <w:rFonts w:hint="default"/>
          <w:sz w:val="28"/>
        </w:rPr>
        <w:t>+</w:t>
      </w:r>
      <w:r>
        <w:rPr>
          <w:rFonts w:hint="eastAsia"/>
          <w:sz w:val="28"/>
        </w:rPr>
        <w:t>活性炭吸附净化，最后进入布袋除尘器处理。</w:t>
      </w:r>
    </w:p>
    <w:p>
      <w:pPr>
        <w:tabs>
          <w:tab w:val="left" w:pos="353"/>
        </w:tabs>
        <w:snapToGrid w:val="0"/>
        <w:spacing w:line="360" w:lineRule="auto"/>
        <w:ind w:firstLine="560" w:firstLineChars="200"/>
        <w:rPr>
          <w:rFonts w:hint="default" w:eastAsia="Times New Roman"/>
          <w:sz w:val="28"/>
        </w:rPr>
      </w:pPr>
      <w:r>
        <w:rPr>
          <w:rFonts w:hint="default"/>
          <w:sz w:val="28"/>
        </w:rPr>
        <w:t>(4)</w:t>
      </w:r>
      <w:r>
        <w:rPr>
          <w:rFonts w:hint="eastAsia"/>
          <w:sz w:val="28"/>
        </w:rPr>
        <w:t>干燥筒烘干阶段产生的粉尘和燃煤废气防治措施如下：</w:t>
      </w:r>
    </w:p>
    <w:p>
      <w:pPr>
        <w:snapToGrid w:val="0"/>
        <w:spacing w:line="360" w:lineRule="auto"/>
        <w:ind w:right="280" w:rightChars="100" w:firstLine="560" w:firstLineChars="200"/>
        <w:rPr>
          <w:rFonts w:hint="default" w:eastAsia="Times New Roman"/>
          <w:sz w:val="28"/>
        </w:rPr>
      </w:pPr>
      <w:r>
        <w:rPr>
          <w:rFonts w:hint="eastAsia"/>
          <w:sz w:val="28"/>
        </w:rPr>
        <w:t>干燥筒烘干阶段产生的粉尘和燃煤产生的粉尘通过一级除尘器和二级除尘器（重力</w:t>
      </w:r>
      <w:r>
        <w:rPr>
          <w:rFonts w:hint="default"/>
          <w:sz w:val="28"/>
        </w:rPr>
        <w:t>+</w:t>
      </w:r>
      <w:r>
        <w:rPr>
          <w:rFonts w:hint="eastAsia"/>
          <w:sz w:val="28"/>
        </w:rPr>
        <w:t>布袋）进行除尘。燃煤使用陕西神木的低硫原煤。</w:t>
      </w:r>
    </w:p>
    <w:p>
      <w:pPr>
        <w:widowControl w:val="0"/>
        <w:numPr>
          <w:ilvl w:val="0"/>
          <w:numId w:val="1"/>
        </w:numPr>
        <w:wordWrap w:val="0"/>
        <w:overflowPunct w:val="0"/>
        <w:adjustRightInd/>
        <w:snapToGrid/>
        <w:spacing w:before="0" w:after="0" w:line="420" w:lineRule="exact"/>
        <w:ind w:left="0" w:leftChars="0" w:right="0" w:firstLine="560" w:firstLineChars="200"/>
        <w:jc w:val="left"/>
        <w:textAlignment w:val="auto"/>
        <w:outlineLvl w:val="9"/>
        <w:rPr>
          <w:rFonts w:hint="eastAsia"/>
          <w:sz w:val="28"/>
        </w:rPr>
      </w:pPr>
      <w:r>
        <w:rPr>
          <w:rFonts w:hint="eastAsia"/>
          <w:sz w:val="28"/>
        </w:rPr>
        <w:t>水泥仓、粉煤灰仓和矿粉仓产生的粉尘，混凝土搅拌进料系统产生的粉尘防治措施如下</w:t>
      </w:r>
    </w:p>
    <w:p>
      <w:pPr>
        <w:spacing w:line="360" w:lineRule="auto"/>
        <w:ind w:firstLine="560" w:firstLineChars="200"/>
        <w:rPr>
          <w:rFonts w:hint="default" w:eastAsia="Times New Roman"/>
          <w:sz w:val="28"/>
        </w:rPr>
      </w:pPr>
      <w:r>
        <w:rPr>
          <w:rFonts w:hint="eastAsia"/>
          <w:sz w:val="28"/>
        </w:rPr>
        <w:t>水泥仓、粉煤灰仓的输料口，采用自动衔接输料，粉料仓仓顶粉尘和搅拌进料系统含尘废气合用一台除尘器进行净化处理。</w:t>
      </w:r>
    </w:p>
    <w:p>
      <w:pPr>
        <w:spacing w:line="360" w:lineRule="auto"/>
        <w:ind w:firstLine="560" w:firstLineChars="200"/>
        <w:rPr>
          <w:rFonts w:hint="default" w:eastAsia="Times New Roman"/>
          <w:color w:val="000000"/>
          <w:sz w:val="28"/>
        </w:rPr>
      </w:pPr>
      <w:r>
        <w:rPr>
          <w:rFonts w:hint="eastAsia"/>
          <w:color w:val="000000"/>
          <w:sz w:val="28"/>
        </w:rPr>
        <w:t>导热油炉产生的粉尘和废气，采用以下防治措施：</w:t>
      </w:r>
    </w:p>
    <w:p>
      <w:pPr>
        <w:widowControl w:val="0"/>
        <w:numPr>
          <w:ilvl w:val="0"/>
          <w:numId w:val="1"/>
        </w:numPr>
        <w:wordWrap w:val="0"/>
        <w:overflowPunct w:val="0"/>
        <w:adjustRightInd/>
        <w:snapToGrid/>
        <w:spacing w:before="0" w:after="0" w:line="420" w:lineRule="exact"/>
        <w:ind w:left="0" w:leftChars="0" w:right="0" w:firstLine="560" w:firstLineChars="200"/>
        <w:jc w:val="left"/>
        <w:textAlignment w:val="auto"/>
        <w:outlineLvl w:val="9"/>
        <w:rPr>
          <w:rFonts w:hint="eastAsia"/>
          <w:sz w:val="28"/>
        </w:rPr>
      </w:pPr>
      <w:r>
        <w:rPr>
          <w:rFonts w:hint="eastAsia"/>
          <w:color w:val="000000"/>
          <w:sz w:val="28"/>
        </w:rPr>
        <w:t>导热油炉产生的粉尘通过袋式除尘器，除去烟尘；生产过程使用焦炭作燃烧原料。</w:t>
      </w:r>
    </w:p>
    <w:p>
      <w:pPr>
        <w:ind w:firstLine="560" w:firstLineChars="200"/>
        <w:rPr>
          <w:rFonts w:hint="eastAsia"/>
          <w:sz w:val="28"/>
        </w:rPr>
      </w:pPr>
      <w:r>
        <w:rPr>
          <w:rFonts w:hint="eastAsia"/>
          <w:sz w:val="28"/>
          <w:lang w:val="en-US" w:eastAsia="zh-CN"/>
        </w:rPr>
        <w:t xml:space="preserve">   </w:t>
      </w:r>
      <w:r>
        <w:rPr>
          <w:rFonts w:hint="eastAsia"/>
          <w:sz w:val="28"/>
        </w:rPr>
        <w:t>2、废水</w:t>
      </w:r>
    </w:p>
    <w:p>
      <w:pPr>
        <w:ind w:firstLine="560" w:firstLineChars="200"/>
        <w:rPr>
          <w:rFonts w:hint="default" w:eastAsia="Times New Roman"/>
          <w:sz w:val="28"/>
        </w:rPr>
      </w:pPr>
      <w:r>
        <w:rPr>
          <w:rFonts w:hint="default"/>
          <w:sz w:val="28"/>
        </w:rPr>
        <w:t>(1)</w:t>
      </w:r>
      <w:r>
        <w:rPr>
          <w:rFonts w:hint="eastAsia"/>
          <w:sz w:val="28"/>
        </w:rPr>
        <w:t>本项目生</w:t>
      </w:r>
      <w:r>
        <w:rPr>
          <w:rFonts w:hint="eastAsia"/>
          <w:sz w:val="28"/>
          <w:lang w:val="en-US" w:eastAsia="zh-CN"/>
        </w:rPr>
        <w:t>产过程中</w:t>
      </w:r>
      <w:r>
        <w:rPr>
          <w:rFonts w:hint="eastAsia"/>
          <w:sz w:val="28"/>
        </w:rPr>
        <w:t>产生汽车冲洗废水防治措施措施：工程设有</w:t>
      </w:r>
      <w:r>
        <w:rPr>
          <w:rFonts w:hint="default"/>
          <w:sz w:val="28"/>
        </w:rPr>
        <w:t>80m</w:t>
      </w:r>
      <w:r>
        <w:rPr>
          <w:rFonts w:hint="default"/>
          <w:sz w:val="28"/>
          <w:vertAlign w:val="superscript"/>
        </w:rPr>
        <w:t>3</w:t>
      </w:r>
      <w:r>
        <w:rPr>
          <w:rFonts w:hint="eastAsia"/>
          <w:sz w:val="28"/>
        </w:rPr>
        <w:t>的循环沉淀池，经沉淀池循环利用不外排。</w:t>
      </w:r>
    </w:p>
    <w:p>
      <w:pPr>
        <w:ind w:firstLine="560" w:firstLineChars="200"/>
        <w:rPr>
          <w:rFonts w:hint="default" w:eastAsia="Times New Roman"/>
          <w:sz w:val="28"/>
        </w:rPr>
      </w:pPr>
      <w:r>
        <w:rPr>
          <w:rFonts w:hint="default"/>
          <w:sz w:val="28"/>
        </w:rPr>
        <w:t>(2)</w:t>
      </w:r>
      <w:r>
        <w:rPr>
          <w:rFonts w:hint="eastAsia"/>
          <w:sz w:val="28"/>
        </w:rPr>
        <w:t>产生的生活污水主要是洗漱用水生活污水产生量较小，经简单沉降处理后用于厂区场地洒水，废水不外排。</w:t>
      </w:r>
    </w:p>
    <w:p>
      <w:pPr>
        <w:ind w:firstLine="560" w:firstLineChars="200"/>
        <w:rPr>
          <w:rFonts w:hint="eastAsia"/>
          <w:sz w:val="28"/>
        </w:rPr>
      </w:pPr>
      <w:r>
        <w:rPr>
          <w:rFonts w:hint="eastAsia"/>
          <w:sz w:val="28"/>
          <w:lang w:val="en-US" w:eastAsia="zh-CN"/>
        </w:rPr>
        <w:t>3、</w:t>
      </w:r>
      <w:r>
        <w:rPr>
          <w:rFonts w:hint="eastAsia"/>
          <w:sz w:val="28"/>
        </w:rPr>
        <w:t>噪声</w:t>
      </w:r>
    </w:p>
    <w:p>
      <w:pPr>
        <w:widowControl w:val="0"/>
        <w:numPr>
          <w:ilvl w:val="0"/>
          <w:numId w:val="0"/>
        </w:numPr>
        <w:wordWrap w:val="0"/>
        <w:overflowPunct w:val="0"/>
        <w:adjustRightInd/>
        <w:snapToGrid/>
        <w:spacing w:before="0" w:after="0" w:line="420" w:lineRule="exact"/>
        <w:ind w:left="0" w:leftChars="0" w:right="0" w:firstLine="560" w:firstLineChars="200"/>
        <w:jc w:val="left"/>
        <w:textAlignment w:val="auto"/>
        <w:outlineLvl w:val="9"/>
        <w:rPr>
          <w:rFonts w:hint="eastAsia"/>
          <w:color w:val="FF0000"/>
          <w:sz w:val="24"/>
          <w:szCs w:val="24"/>
        </w:rPr>
      </w:pPr>
      <w:r>
        <w:rPr>
          <w:rFonts w:hint="eastAsia"/>
          <w:sz w:val="28"/>
        </w:rPr>
        <w:t>选用低噪声的设备，对机械设备采用减振措施，加强厂区的绿化工作，在厂界周围种植防护林带。</w:t>
      </w:r>
    </w:p>
    <w:p>
      <w:pPr>
        <w:ind w:firstLine="560" w:firstLineChars="200"/>
        <w:rPr>
          <w:rFonts w:hint="eastAsia"/>
          <w:sz w:val="28"/>
        </w:rPr>
      </w:pPr>
      <w:r>
        <w:rPr>
          <w:rFonts w:hint="eastAsia"/>
          <w:sz w:val="28"/>
          <w:lang w:val="en-US" w:eastAsia="zh-CN"/>
        </w:rPr>
        <w:t>4、</w:t>
      </w:r>
      <w:r>
        <w:rPr>
          <w:rFonts w:hint="eastAsia"/>
          <w:sz w:val="28"/>
        </w:rPr>
        <w:t>固废</w:t>
      </w:r>
    </w:p>
    <w:p>
      <w:pPr>
        <w:ind w:firstLine="560" w:firstLineChars="200"/>
        <w:rPr>
          <w:rFonts w:hint="default" w:eastAsia="Times New Roman"/>
          <w:sz w:val="28"/>
        </w:rPr>
      </w:pPr>
      <w:r>
        <w:rPr>
          <w:rFonts w:hint="default"/>
          <w:sz w:val="28"/>
        </w:rPr>
        <w:t>(1)</w:t>
      </w:r>
      <w:r>
        <w:rPr>
          <w:rFonts w:hint="eastAsia"/>
          <w:sz w:val="28"/>
        </w:rPr>
        <w:t>废石料、混凝土、除尘装置收集的粉尘，全部作为原料再次利用。</w:t>
      </w:r>
    </w:p>
    <w:p>
      <w:pPr>
        <w:ind w:firstLine="560" w:firstLineChars="200"/>
        <w:rPr>
          <w:rFonts w:hint="default" w:eastAsia="Times New Roman"/>
          <w:sz w:val="28"/>
        </w:rPr>
      </w:pPr>
      <w:r>
        <w:rPr>
          <w:rFonts w:hint="default"/>
          <w:sz w:val="28"/>
        </w:rPr>
        <w:t>(2)</w:t>
      </w:r>
      <w:r>
        <w:rPr>
          <w:rFonts w:hint="eastAsia"/>
          <w:sz w:val="28"/>
        </w:rPr>
        <w:t>滴漏沥青及拌合残渣，指定专人在沥青滴漏处和拌合残渣泄露处用专用的容器接装，将其回收利用。</w:t>
      </w:r>
    </w:p>
    <w:p>
      <w:pPr>
        <w:ind w:firstLine="560" w:firstLineChars="200"/>
        <w:rPr>
          <w:rFonts w:hint="default" w:eastAsia="Times New Roman"/>
          <w:sz w:val="28"/>
        </w:rPr>
      </w:pPr>
      <w:r>
        <w:rPr>
          <w:rFonts w:hint="default"/>
          <w:sz w:val="28"/>
        </w:rPr>
        <w:t>(3)</w:t>
      </w:r>
      <w:r>
        <w:rPr>
          <w:rFonts w:hint="eastAsia"/>
          <w:sz w:val="28"/>
        </w:rPr>
        <w:t>生活垃圾，委托当地环卫部门处理。</w:t>
      </w:r>
    </w:p>
    <w:p>
      <w:pPr>
        <w:widowControl w:val="0"/>
        <w:adjustRightInd/>
        <w:snapToGrid/>
        <w:spacing w:before="0" w:after="0" w:line="420" w:lineRule="exact"/>
        <w:ind w:left="0" w:leftChars="0" w:right="0" w:firstLine="480" w:firstLineChars="200"/>
        <w:textAlignment w:val="auto"/>
        <w:outlineLvl w:val="9"/>
        <w:rPr>
          <w:sz w:val="24"/>
          <w:szCs w:val="24"/>
        </w:rPr>
      </w:pPr>
      <w:r>
        <w:rPr>
          <w:rFonts w:hint="eastAsia"/>
          <w:sz w:val="24"/>
          <w:szCs w:val="24"/>
          <w:lang w:eastAsia="zh-CN"/>
        </w:rPr>
        <w:t>五</w:t>
      </w:r>
      <w:r>
        <w:rPr>
          <w:rFonts w:hint="eastAsia"/>
          <w:sz w:val="24"/>
          <w:szCs w:val="24"/>
        </w:rPr>
        <w:t>、环保设施</w:t>
      </w:r>
      <w:r>
        <w:rPr>
          <w:rFonts w:hint="eastAsia"/>
          <w:sz w:val="24"/>
          <w:szCs w:val="24"/>
          <w:lang w:eastAsia="zh-CN"/>
        </w:rPr>
        <w:t>调试</w:t>
      </w:r>
      <w:r>
        <w:rPr>
          <w:rFonts w:hint="eastAsia"/>
          <w:sz w:val="24"/>
          <w:szCs w:val="24"/>
        </w:rPr>
        <w:t>监测结果</w:t>
      </w:r>
    </w:p>
    <w:p>
      <w:pPr>
        <w:ind w:firstLine="560" w:firstLineChars="200"/>
        <w:rPr>
          <w:rFonts w:hint="eastAsia"/>
          <w:sz w:val="28"/>
        </w:rPr>
      </w:pPr>
      <w:r>
        <w:rPr>
          <w:rFonts w:hint="eastAsia"/>
          <w:sz w:val="28"/>
        </w:rPr>
        <w:t>监测期间的生产工况</w:t>
      </w:r>
      <w:r>
        <w:rPr>
          <w:rFonts w:hint="eastAsia"/>
          <w:sz w:val="28"/>
          <w:lang w:eastAsia="zh-CN"/>
        </w:rPr>
        <w:t>：</w:t>
      </w:r>
      <w:r>
        <w:rPr>
          <w:rFonts w:hint="eastAsia"/>
          <w:sz w:val="28"/>
        </w:rPr>
        <w:t>验收检测期间，该企业生产正常、稳定，生产负荷达到国家规定的</w:t>
      </w:r>
      <w:r>
        <w:rPr>
          <w:rFonts w:hint="eastAsia"/>
          <w:sz w:val="28"/>
          <w:lang w:val="en-US" w:eastAsia="zh-CN"/>
        </w:rPr>
        <w:t>80</w:t>
      </w:r>
      <w:r>
        <w:rPr>
          <w:rFonts w:hint="eastAsia"/>
          <w:sz w:val="28"/>
        </w:rPr>
        <w:t>%以上，满足环境保护验收检测要求。</w:t>
      </w:r>
    </w:p>
    <w:p>
      <w:pPr>
        <w:ind w:firstLine="560" w:firstLineChars="200"/>
        <w:rPr>
          <w:rFonts w:hint="eastAsia"/>
          <w:sz w:val="28"/>
        </w:rPr>
      </w:pPr>
      <w:r>
        <w:rPr>
          <w:rFonts w:hint="eastAsia"/>
          <w:sz w:val="28"/>
          <w:lang w:val="en-US" w:eastAsia="zh-CN"/>
        </w:rPr>
        <w:t>1</w:t>
      </w:r>
      <w:r>
        <w:rPr>
          <w:rFonts w:hint="eastAsia"/>
          <w:sz w:val="28"/>
        </w:rPr>
        <w:t>、废气</w:t>
      </w:r>
    </w:p>
    <w:p>
      <w:pPr>
        <w:ind w:firstLine="560" w:firstLineChars="200"/>
        <w:rPr>
          <w:rFonts w:hint="eastAsia"/>
          <w:sz w:val="28"/>
        </w:rPr>
      </w:pPr>
      <w:r>
        <w:rPr>
          <w:rFonts w:hint="eastAsia"/>
          <w:sz w:val="28"/>
        </w:rPr>
        <w:t>经山西誉达环境监测有限公司</w:t>
      </w:r>
      <w:r>
        <w:rPr>
          <w:rFonts w:hint="eastAsia"/>
          <w:sz w:val="28"/>
          <w:lang w:eastAsia="zh-CN"/>
        </w:rPr>
        <w:t>现场</w:t>
      </w:r>
      <w:r>
        <w:rPr>
          <w:rFonts w:hint="eastAsia"/>
          <w:sz w:val="28"/>
        </w:rPr>
        <w:t>检测，沥青砼生产系统布袋除尘器出口的沥青烟和苯并芘的排放浓度和排放速率均达到《大气污染物综合排放标准》（GB16297-1996）表2中二级标准，达标率为100%；达标率100%；烟尘和SO2的排放浓度均达到《工业窑炉大气污染物排放标准》（GB9078-1996)表2、表4中二级标准的要求，达标率为100%。</w:t>
      </w:r>
    </w:p>
    <w:p>
      <w:pPr>
        <w:ind w:firstLine="560" w:firstLineChars="200"/>
        <w:rPr>
          <w:rFonts w:hint="eastAsia"/>
          <w:sz w:val="28"/>
        </w:rPr>
      </w:pPr>
      <w:r>
        <w:rPr>
          <w:rFonts w:hint="eastAsia"/>
          <w:sz w:val="28"/>
        </w:rPr>
        <w:t>导热油炉产生的烟尘、SO2、NOX排放浓度均达到了《锅炉大气污染物排放标准》（GB13271-2014)中表1标准要求，达标率为100%</w:t>
      </w:r>
    </w:p>
    <w:p>
      <w:pPr>
        <w:ind w:firstLine="560" w:firstLineChars="200"/>
        <w:rPr>
          <w:rFonts w:hint="eastAsia"/>
          <w:sz w:val="28"/>
        </w:rPr>
      </w:pPr>
      <w:r>
        <w:rPr>
          <w:rFonts w:hint="eastAsia"/>
          <w:sz w:val="28"/>
        </w:rPr>
        <w:t>厂界无组织颗粒物排放浓度均达到《大气污染物综合排放标准》（GB16297-1996）中标准，达标率均为100%。</w:t>
      </w:r>
    </w:p>
    <w:p>
      <w:pPr>
        <w:ind w:firstLine="560" w:firstLineChars="200"/>
        <w:rPr>
          <w:rFonts w:hint="eastAsia"/>
          <w:sz w:val="28"/>
        </w:rPr>
      </w:pPr>
      <w:r>
        <w:rPr>
          <w:rFonts w:hint="eastAsia"/>
          <w:sz w:val="28"/>
          <w:lang w:val="en-US" w:eastAsia="zh-CN"/>
        </w:rPr>
        <w:t>2</w:t>
      </w:r>
      <w:r>
        <w:rPr>
          <w:rFonts w:hint="eastAsia"/>
          <w:sz w:val="28"/>
        </w:rPr>
        <w:t>、噪声</w:t>
      </w:r>
    </w:p>
    <w:p>
      <w:pPr>
        <w:ind w:firstLine="560" w:firstLineChars="200"/>
        <w:rPr>
          <w:rFonts w:hint="eastAsia"/>
          <w:sz w:val="28"/>
        </w:rPr>
      </w:pPr>
      <w:r>
        <w:rPr>
          <w:rFonts w:hint="eastAsia"/>
          <w:sz w:val="28"/>
        </w:rPr>
        <w:t>经检测，该企业厂界噪声均达到《工业企业厂界噪声标准》（GB12348-2008）中2类标准，达标率100%。</w:t>
      </w:r>
    </w:p>
    <w:p>
      <w:pPr>
        <w:ind w:firstLine="560" w:firstLineChars="200"/>
        <w:rPr>
          <w:rFonts w:hint="eastAsia"/>
          <w:sz w:val="28"/>
        </w:rPr>
      </w:pPr>
      <w:r>
        <w:rPr>
          <w:rFonts w:hint="eastAsia"/>
          <w:sz w:val="28"/>
          <w:lang w:val="en-US" w:eastAsia="zh-CN"/>
        </w:rPr>
        <w:t>3</w:t>
      </w:r>
      <w:r>
        <w:rPr>
          <w:rFonts w:hint="eastAsia"/>
          <w:sz w:val="28"/>
        </w:rPr>
        <w:t>、固废</w:t>
      </w:r>
    </w:p>
    <w:p>
      <w:pPr>
        <w:ind w:firstLine="560" w:firstLineChars="200"/>
        <w:rPr>
          <w:rFonts w:hint="eastAsia"/>
          <w:sz w:val="28"/>
        </w:rPr>
      </w:pPr>
      <w:r>
        <w:rPr>
          <w:rFonts w:hint="eastAsia"/>
          <w:sz w:val="28"/>
        </w:rPr>
        <w:t>生产过程中除尘灰</w:t>
      </w:r>
      <w:r>
        <w:rPr>
          <w:rFonts w:hint="eastAsia"/>
          <w:sz w:val="28"/>
          <w:lang w:eastAsia="zh-CN"/>
        </w:rPr>
        <w:t>等</w:t>
      </w:r>
      <w:r>
        <w:rPr>
          <w:rFonts w:hint="eastAsia"/>
          <w:sz w:val="28"/>
        </w:rPr>
        <w:t>全部回收作为原料二次利用。</w:t>
      </w:r>
    </w:p>
    <w:p>
      <w:pPr>
        <w:ind w:firstLine="560" w:firstLineChars="200"/>
        <w:rPr>
          <w:rFonts w:hint="eastAsia"/>
          <w:sz w:val="28"/>
          <w:lang w:val="en-US" w:eastAsia="zh-CN"/>
        </w:rPr>
      </w:pPr>
      <w:r>
        <w:rPr>
          <w:rFonts w:hint="eastAsia"/>
          <w:sz w:val="28"/>
          <w:lang w:val="en-US" w:eastAsia="zh-CN"/>
        </w:rPr>
        <w:t>4、废水</w:t>
      </w:r>
    </w:p>
    <w:p>
      <w:pPr>
        <w:ind w:firstLine="560" w:firstLineChars="200"/>
        <w:rPr>
          <w:rFonts w:hint="eastAsia"/>
          <w:sz w:val="28"/>
          <w:lang w:val="en-US" w:eastAsia="zh-CN"/>
        </w:rPr>
      </w:pPr>
      <w:r>
        <w:rPr>
          <w:rFonts w:hint="eastAsia"/>
          <w:sz w:val="28"/>
          <w:lang w:val="en-US" w:eastAsia="zh-CN"/>
        </w:rPr>
        <w:t>公司无生产性废水产生于排放。生活污水</w:t>
      </w:r>
      <w:r>
        <w:rPr>
          <w:rFonts w:hint="eastAsia"/>
          <w:sz w:val="28"/>
        </w:rPr>
        <w:t>沉淀池处理后用于场地洒水，无外排废水</w:t>
      </w:r>
      <w:r>
        <w:rPr>
          <w:rFonts w:hint="eastAsia"/>
          <w:sz w:val="28"/>
          <w:lang w:eastAsia="zh-CN"/>
        </w:rPr>
        <w:t>。</w:t>
      </w:r>
    </w:p>
    <w:p>
      <w:pPr>
        <w:ind w:firstLine="560" w:firstLineChars="200"/>
        <w:rPr>
          <w:rFonts w:hint="eastAsia"/>
          <w:sz w:val="28"/>
        </w:rPr>
      </w:pPr>
      <w:r>
        <w:rPr>
          <w:rFonts w:hint="eastAsia"/>
          <w:sz w:val="28"/>
          <w:lang w:val="en-US" w:eastAsia="zh-CN"/>
        </w:rPr>
        <w:t>5</w:t>
      </w:r>
      <w:r>
        <w:rPr>
          <w:rFonts w:hint="eastAsia"/>
          <w:sz w:val="28"/>
        </w:rPr>
        <w:t>、总量</w:t>
      </w:r>
    </w:p>
    <w:p>
      <w:pPr>
        <w:ind w:firstLine="560" w:firstLineChars="200"/>
        <w:rPr>
          <w:rFonts w:hint="eastAsia"/>
          <w:sz w:val="28"/>
        </w:rPr>
      </w:pPr>
      <w:r>
        <w:rPr>
          <w:rFonts w:hint="eastAsia"/>
          <w:sz w:val="28"/>
        </w:rPr>
        <w:t>经检测</w:t>
      </w:r>
      <w:r>
        <w:rPr>
          <w:rFonts w:hint="eastAsia"/>
          <w:sz w:val="28"/>
          <w:lang w:eastAsia="zh-CN"/>
        </w:rPr>
        <w:t>核算</w:t>
      </w:r>
      <w:r>
        <w:rPr>
          <w:rFonts w:hint="eastAsia"/>
          <w:sz w:val="28"/>
        </w:rPr>
        <w:t>，烟尘、SO2、NOX的排放总量达到了总量控制指标，粉尘的排放总量达到总量控制指标。</w:t>
      </w:r>
    </w:p>
    <w:p>
      <w:pPr>
        <w:ind w:firstLine="560" w:firstLineChars="200"/>
        <w:rPr>
          <w:rFonts w:hint="eastAsia"/>
          <w:sz w:val="28"/>
        </w:rPr>
      </w:pPr>
      <w:r>
        <w:rPr>
          <w:rFonts w:hint="eastAsia"/>
          <w:sz w:val="28"/>
          <w:lang w:eastAsia="zh-CN"/>
        </w:rPr>
        <w:t>六</w:t>
      </w:r>
      <w:r>
        <w:rPr>
          <w:rFonts w:hint="eastAsia"/>
          <w:sz w:val="28"/>
        </w:rPr>
        <w:t>、工程建设对环境的影响</w:t>
      </w:r>
    </w:p>
    <w:p>
      <w:pPr>
        <w:ind w:firstLine="560" w:firstLineChars="200"/>
        <w:rPr>
          <w:rFonts w:hint="eastAsia"/>
          <w:sz w:val="28"/>
        </w:rPr>
      </w:pPr>
      <w:r>
        <w:rPr>
          <w:rFonts w:hint="eastAsia"/>
          <w:sz w:val="28"/>
          <w:lang w:eastAsia="zh-CN"/>
        </w:rPr>
        <w:t>工程对产尘点和其他污染源采取治理措施后没污染物达标排放</w:t>
      </w:r>
      <w:r>
        <w:rPr>
          <w:rFonts w:hint="eastAsia"/>
          <w:sz w:val="28"/>
        </w:rPr>
        <w:t>，项目投产后对周边环境影响</w:t>
      </w:r>
      <w:r>
        <w:rPr>
          <w:rFonts w:hint="eastAsia"/>
          <w:sz w:val="28"/>
          <w:lang w:eastAsia="zh-CN"/>
        </w:rPr>
        <w:t>较小</w:t>
      </w:r>
      <w:r>
        <w:rPr>
          <w:rFonts w:hint="eastAsia"/>
          <w:sz w:val="28"/>
        </w:rPr>
        <w:t>。</w:t>
      </w:r>
    </w:p>
    <w:p>
      <w:pPr>
        <w:ind w:firstLine="560" w:firstLineChars="200"/>
        <w:rPr>
          <w:rFonts w:hint="default"/>
          <w:sz w:val="28"/>
          <w:lang w:val="en-US" w:eastAsia="zh-CN"/>
        </w:rPr>
      </w:pPr>
      <w:r>
        <w:rPr>
          <w:rFonts w:hint="eastAsia"/>
          <w:sz w:val="28"/>
          <w:lang w:val="en-US" w:eastAsia="zh-CN"/>
        </w:rPr>
        <w:t>七、</w:t>
      </w:r>
      <w:r>
        <w:rPr>
          <w:rFonts w:hint="default"/>
          <w:sz w:val="28"/>
          <w:lang w:val="en-US" w:eastAsia="zh-CN"/>
        </w:rPr>
        <w:t>验收结论</w:t>
      </w:r>
    </w:p>
    <w:p>
      <w:pPr>
        <w:ind w:firstLine="560" w:firstLineChars="200"/>
        <w:rPr>
          <w:rFonts w:hint="default"/>
          <w:sz w:val="28"/>
          <w:lang w:val="en-US" w:eastAsia="zh-CN"/>
        </w:rPr>
      </w:pPr>
      <w:r>
        <w:rPr>
          <w:rFonts w:hint="default"/>
          <w:sz w:val="28"/>
          <w:lang w:val="en-US" w:eastAsia="zh-CN"/>
        </w:rPr>
        <w:t>验收组对环保设施验收报告和验收监测数据报告内容核查的基础上，严格按照国家有关法律法规、《建设项目竣工环境保护验收暂行办法》等要求对建设项目配套建设的环境保护设施进行了验收，验收组原则同意项目通过环境保护设施验收。</w:t>
      </w:r>
    </w:p>
    <w:p>
      <w:pPr>
        <w:ind w:firstLine="560" w:firstLineChars="200"/>
        <w:rPr>
          <w:rFonts w:hint="default"/>
          <w:sz w:val="28"/>
          <w:lang w:val="en-US" w:eastAsia="zh-CN"/>
        </w:rPr>
      </w:pPr>
      <w:r>
        <w:rPr>
          <w:rFonts w:hint="eastAsia"/>
          <w:sz w:val="28"/>
          <w:lang w:val="en-US" w:eastAsia="zh-CN"/>
        </w:rPr>
        <w:t>八</w:t>
      </w:r>
      <w:r>
        <w:rPr>
          <w:rFonts w:hint="default"/>
          <w:sz w:val="28"/>
          <w:lang w:val="en-US" w:eastAsia="zh-CN"/>
        </w:rPr>
        <w:t>、建议和要求</w:t>
      </w:r>
    </w:p>
    <w:p>
      <w:pPr>
        <w:ind w:firstLine="560" w:firstLineChars="200"/>
        <w:rPr>
          <w:rFonts w:hint="default"/>
          <w:sz w:val="28"/>
          <w:lang w:val="en-US" w:eastAsia="zh-CN"/>
        </w:rPr>
      </w:pPr>
      <w:r>
        <w:rPr>
          <w:rFonts w:hint="default"/>
          <w:sz w:val="28"/>
          <w:lang w:val="en-US" w:eastAsia="zh-CN"/>
        </w:rPr>
        <w:t>加强对各类环保设施的日常运行、维护和管理，确保各项污染物长期稳定达标排放。</w:t>
      </w:r>
    </w:p>
    <w:p>
      <w:pPr>
        <w:ind w:firstLine="560" w:firstLineChars="200"/>
        <w:rPr>
          <w:rFonts w:hint="default"/>
          <w:sz w:val="28"/>
          <w:lang w:val="en-US" w:eastAsia="zh-CN"/>
        </w:rPr>
      </w:pPr>
      <w:r>
        <w:rPr>
          <w:rFonts w:hint="eastAsia"/>
          <w:sz w:val="28"/>
          <w:lang w:val="en-US" w:eastAsia="zh-CN"/>
        </w:rPr>
        <w:t>九</w:t>
      </w:r>
      <w:r>
        <w:rPr>
          <w:rFonts w:hint="default"/>
          <w:sz w:val="28"/>
          <w:lang w:val="en-US" w:eastAsia="zh-CN"/>
        </w:rPr>
        <w:t>、验收人员信息</w:t>
      </w:r>
    </w:p>
    <w:p>
      <w:pPr>
        <w:ind w:firstLine="560" w:firstLineChars="200"/>
        <w:rPr>
          <w:rFonts w:hint="default"/>
          <w:sz w:val="28"/>
          <w:lang w:val="en-US" w:eastAsia="zh-CN"/>
        </w:rPr>
      </w:pPr>
      <w:r>
        <w:rPr>
          <w:rFonts w:hint="default"/>
          <w:sz w:val="28"/>
          <w:lang w:val="en-US" w:eastAsia="zh-CN"/>
        </w:rPr>
        <w:t>验收人员名单见附表。</w:t>
      </w:r>
    </w:p>
    <w:p>
      <w:pPr>
        <w:ind w:firstLine="560" w:firstLineChars="200"/>
        <w:rPr>
          <w:rFonts w:hint="eastAsia"/>
          <w:sz w:val="28"/>
        </w:rPr>
      </w:pPr>
    </w:p>
    <w:p>
      <w:pPr>
        <w:ind w:firstLine="560" w:firstLineChars="200"/>
        <w:rPr>
          <w:rFonts w:hint="eastAsia"/>
          <w:sz w:val="28"/>
        </w:rPr>
      </w:pPr>
    </w:p>
    <w:p>
      <w:pPr>
        <w:ind w:firstLine="560" w:firstLineChars="200"/>
        <w:rPr>
          <w:rFonts w:hint="eastAsia"/>
          <w:sz w:val="28"/>
          <w:lang w:val="en-US" w:eastAsia="zh-CN"/>
        </w:rPr>
      </w:pPr>
      <w:bookmarkStart w:id="4" w:name="_GoBack"/>
      <w:bookmarkEnd w:id="4"/>
    </w:p>
    <w:p>
      <w:pPr>
        <w:ind w:firstLine="560" w:firstLineChars="200"/>
        <w:rPr>
          <w:rFonts w:hint="eastAsia"/>
          <w:sz w:val="28"/>
          <w:lang w:val="en-US" w:eastAsia="zh-CN"/>
        </w:rPr>
      </w:pPr>
      <w:r>
        <w:rPr>
          <w:rFonts w:hint="eastAsia"/>
          <w:sz w:val="28"/>
          <w:lang w:val="en-US" w:eastAsia="zh-CN"/>
        </w:rPr>
        <w:t>山西忠民路桥建养有限责任公司大交分公司</w:t>
      </w:r>
    </w:p>
    <w:p>
      <w:pPr>
        <w:ind w:firstLine="560" w:firstLineChars="200"/>
        <w:rPr>
          <w:rFonts w:hint="eastAsia"/>
          <w:sz w:val="28"/>
          <w:lang w:val="en-US" w:eastAsia="zh-CN"/>
        </w:rPr>
      </w:pPr>
    </w:p>
    <w:p>
      <w:pPr>
        <w:ind w:firstLine="560" w:firstLineChars="200"/>
      </w:pPr>
      <w:r>
        <w:rPr>
          <w:rFonts w:hint="eastAsia"/>
          <w:sz w:val="28"/>
        </w:rPr>
        <w:t>2018年1月</w:t>
      </w:r>
      <w:r>
        <w:rPr>
          <w:rFonts w:hint="eastAsia"/>
          <w:sz w:val="28"/>
          <w:lang w:val="en-US" w:eastAsia="zh-CN"/>
        </w:rPr>
        <w:t>12日</w:t>
      </w:r>
    </w:p>
    <w:sectPr>
      <w:headerReference r:id="rId3" w:type="default"/>
      <w:footerReference r:id="rId4" w:type="default"/>
      <w:pgSz w:w="11906" w:h="16838"/>
      <w:pgMar w:top="1701" w:right="1803" w:bottom="1871" w:left="1803"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E1D11E2"/>
    <w:rsid w:val="3F385830"/>
    <w:rsid w:val="48A430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overflowPunct w:val="0"/>
      <w:spacing w:line="440" w:lineRule="exact"/>
      <w:ind w:firstLine="643" w:firstLineChars="200"/>
    </w:pPr>
    <w:rPr>
      <w:rFonts w:ascii="Calibri" w:hAnsi="Calibri" w:eastAsia="宋体" w:cs="黑体"/>
      <w:kern w:val="2"/>
      <w:sz w:val="28"/>
      <w:szCs w:val="28"/>
      <w:lang w:val="en-US" w:eastAsia="zh-CN" w:bidi="ar-SA"/>
    </w:rPr>
  </w:style>
  <w:style w:type="paragraph" w:styleId="2">
    <w:name w:val="heading 1"/>
    <w:basedOn w:val="1"/>
    <w:next w:val="1"/>
    <w:uiPriority w:val="0"/>
    <w:pPr>
      <w:keepNext/>
      <w:keepLines/>
      <w:spacing w:before="340" w:after="330" w:line="576" w:lineRule="auto"/>
      <w:jc w:val="center"/>
      <w:outlineLvl w:val="0"/>
    </w:pPr>
    <w:rPr>
      <w:b/>
      <w:kern w:val="44"/>
      <w:sz w:val="44"/>
    </w:rPr>
  </w:style>
  <w:style w:type="paragraph" w:styleId="3">
    <w:name w:val="heading 2"/>
    <w:basedOn w:val="4"/>
    <w:next w:val="1"/>
    <w:uiPriority w:val="0"/>
    <w:pPr>
      <w:pageBreakBefore/>
      <w:tabs>
        <w:tab w:val="right" w:leader="dot" w:pos="8165"/>
      </w:tabs>
      <w:adjustRightInd w:val="0"/>
      <w:spacing w:line="480" w:lineRule="atLeast"/>
      <w:ind w:left="0" w:leftChars="0"/>
      <w:jc w:val="center"/>
      <w:outlineLvl w:val="1"/>
    </w:pPr>
    <w:rPr>
      <w:rFonts w:hint="eastAsia" w:ascii="黑体" w:hAnsi="黑体" w:eastAsia="黑体" w:cs="Arial Unicode MS"/>
      <w:kern w:val="0"/>
      <w:sz w:val="32"/>
      <w:szCs w:val="20"/>
    </w:rPr>
  </w:style>
  <w:style w:type="character" w:default="1" w:styleId="8">
    <w:name w:val="Default Paragraph Font"/>
    <w:link w:val="9"/>
    <w:semiHidden/>
    <w:qFormat/>
    <w:uiPriority w:val="0"/>
    <w:rPr>
      <w:rFonts w:ascii="Tahoma" w:hAnsi="Tahoma"/>
      <w:sz w:val="24"/>
      <w:szCs w:val="20"/>
    </w:rPr>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toc 2"/>
    <w:basedOn w:val="1"/>
    <w:next w:val="1"/>
    <w:qFormat/>
    <w:uiPriority w:val="0"/>
    <w:pPr>
      <w:ind w:left="420" w:leftChars="200"/>
    </w:pPr>
  </w:style>
  <w:style w:type="paragraph" w:styleId="5">
    <w:name w:val="Body Text"/>
    <w:basedOn w:val="1"/>
    <w:qFormat/>
    <w:uiPriority w:val="0"/>
    <w:pPr>
      <w:spacing w:line="240" w:lineRule="atLeast"/>
    </w:pPr>
    <w:rPr>
      <w:rFonts w:hint="default"/>
      <w:sz w:val="18"/>
    </w:rPr>
  </w:style>
  <w:style w:type="paragraph" w:styleId="6">
    <w:name w:val="footer"/>
    <w:basedOn w:val="1"/>
    <w:link w:val="22"/>
    <w:uiPriority w:val="0"/>
    <w:pPr>
      <w:tabs>
        <w:tab w:val="center" w:pos="4153"/>
        <w:tab w:val="right" w:pos="8306"/>
      </w:tabs>
      <w:snapToGrid w:val="0"/>
      <w:spacing w:line="240" w:lineRule="atLeast"/>
    </w:pPr>
    <w:rPr>
      <w:kern w:val="2"/>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spacing w:line="240" w:lineRule="atLeast"/>
      <w:jc w:val="center"/>
    </w:pPr>
    <w:rPr>
      <w:kern w:val="2"/>
      <w:sz w:val="18"/>
      <w:szCs w:val="18"/>
    </w:rPr>
  </w:style>
  <w:style w:type="paragraph" w:customStyle="1" w:styleId="9">
    <w:name w:val=" Char Char"/>
    <w:basedOn w:val="1"/>
    <w:link w:val="8"/>
    <w:qFormat/>
    <w:uiPriority w:val="0"/>
    <w:rPr>
      <w:rFonts w:ascii="Tahoma" w:hAnsi="Tahoma"/>
      <w:sz w:val="24"/>
      <w:szCs w:val="20"/>
    </w:rPr>
  </w:style>
  <w:style w:type="paragraph" w:customStyle="1" w:styleId="11">
    <w:name w:val="Normal Indent"/>
    <w:basedOn w:val="1"/>
    <w:qFormat/>
    <w:uiPriority w:val="0"/>
    <w:pPr>
      <w:ind w:firstLine="420"/>
    </w:pPr>
    <w:rPr>
      <w:rFonts w:eastAsia="宋体"/>
      <w:sz w:val="21"/>
    </w:rPr>
  </w:style>
  <w:style w:type="paragraph" w:customStyle="1" w:styleId="12">
    <w:name w:val="Plain Text"/>
    <w:basedOn w:val="1"/>
    <w:uiPriority w:val="0"/>
    <w:rPr>
      <w:rFonts w:ascii="宋体" w:hAnsi="宋体"/>
      <w:sz w:val="24"/>
    </w:rPr>
  </w:style>
  <w:style w:type="paragraph" w:customStyle="1" w:styleId="13">
    <w:name w:val="Body Text Indent 3"/>
    <w:basedOn w:val="1"/>
    <w:qFormat/>
    <w:uiPriority w:val="0"/>
    <w:pPr>
      <w:ind w:firstLine="570"/>
    </w:pPr>
    <w:rPr>
      <w:rFonts w:ascii="宋体" w:hAnsi="宋体"/>
    </w:rPr>
  </w:style>
  <w:style w:type="paragraph" w:customStyle="1" w:styleId="14">
    <w:name w:val="Default"/>
    <w:qFormat/>
    <w:uiPriority w:val="0"/>
    <w:pPr>
      <w:widowControl w:val="0"/>
      <w:autoSpaceDE w:val="0"/>
      <w:autoSpaceDN w:val="0"/>
      <w:adjustRightInd w:val="0"/>
    </w:pPr>
    <w:rPr>
      <w:rFonts w:ascii="Calibri" w:hAnsi="Calibri" w:eastAsia="宋体" w:cs="黑体"/>
      <w:color w:val="000000"/>
      <w:sz w:val="24"/>
      <w:szCs w:val="24"/>
      <w:lang w:val="en-US" w:eastAsia="zh-CN" w:bidi="ar-SA"/>
    </w:rPr>
  </w:style>
  <w:style w:type="paragraph" w:customStyle="1" w:styleId="15">
    <w:name w:val="样式1"/>
    <w:basedOn w:val="1"/>
    <w:next w:val="12"/>
    <w:qFormat/>
    <w:uiPriority w:val="0"/>
    <w:pPr>
      <w:ind w:right="420" w:rightChars="200" w:firstLine="420"/>
      <w:jc w:val="right"/>
    </w:pPr>
  </w:style>
  <w:style w:type="paragraph" w:customStyle="1" w:styleId="16">
    <w:name w:val="样式 样式 样式 四号 左侧:  1.53 厘米 + 首行缩进:  2 字符 + 居中 左侧:  2 字符 首行缩进:  2..."/>
    <w:basedOn w:val="17"/>
    <w:uiPriority w:val="0"/>
    <w:pPr>
      <w:jc w:val="center"/>
    </w:pPr>
    <w:rPr>
      <w:rFonts w:ascii="Calibri" w:hAnsi="Calibri" w:eastAsia="宋体" w:cs="Times New Roman"/>
    </w:rPr>
  </w:style>
  <w:style w:type="paragraph" w:customStyle="1" w:styleId="17">
    <w:name w:val="样式 样式 四号 左侧:  1.53 厘米 + 首行缩进:  2 字符"/>
    <w:basedOn w:val="18"/>
    <w:qFormat/>
    <w:uiPriority w:val="0"/>
    <w:pPr>
      <w:ind w:left="200" w:leftChars="200"/>
    </w:pPr>
    <w:rPr>
      <w:szCs w:val="20"/>
    </w:rPr>
  </w:style>
  <w:style w:type="paragraph" w:customStyle="1" w:styleId="18">
    <w:name w:val="样式 四号 左侧:  1.53 厘米"/>
    <w:basedOn w:val="1"/>
    <w:uiPriority w:val="0"/>
    <w:pPr>
      <w:adjustRightInd w:val="0"/>
    </w:pPr>
    <w:rPr>
      <w:w w:val="90"/>
    </w:rPr>
  </w:style>
  <w:style w:type="paragraph" w:customStyle="1" w:styleId="19">
    <w:name w:val="Char Char1 Char Char1 Char Char1 Char Char1 Char Char Char Char Char Char Char"/>
    <w:basedOn w:val="1"/>
    <w:qFormat/>
    <w:uiPriority w:val="0"/>
    <w:pPr>
      <w:wordWrap/>
      <w:spacing w:line="600" w:lineRule="exact"/>
      <w:ind w:firstLine="960"/>
      <w:jc w:val="both"/>
    </w:pPr>
    <w:rPr>
      <w:rFonts w:ascii="Times New Roman" w:hAnsi="Times New Roman" w:eastAsia="Times New Roman" w:cs="Times New Roman"/>
      <w:kern w:val="0"/>
      <w:sz w:val="21"/>
      <w:szCs w:val="20"/>
    </w:rPr>
  </w:style>
  <w:style w:type="character" w:customStyle="1" w:styleId="20">
    <w:name w:val="page number"/>
    <w:basedOn w:val="8"/>
    <w:qFormat/>
    <w:uiPriority w:val="0"/>
  </w:style>
  <w:style w:type="character" w:customStyle="1" w:styleId="21">
    <w:name w:val="页眉 Char Char"/>
    <w:basedOn w:val="8"/>
    <w:link w:val="7"/>
    <w:semiHidden/>
    <w:qFormat/>
    <w:uiPriority w:val="0"/>
    <w:rPr>
      <w:kern w:val="2"/>
      <w:sz w:val="18"/>
      <w:szCs w:val="18"/>
    </w:rPr>
  </w:style>
  <w:style w:type="character" w:customStyle="1" w:styleId="22">
    <w:name w:val="页脚 Char Char"/>
    <w:basedOn w:val="8"/>
    <w:link w:val="6"/>
    <w:semiHidden/>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342</Words>
  <Characters>1955</Characters>
  <Lines>16</Lines>
  <Paragraphs>4</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2017-12-23T10:57:00Z</dcterms:created>
  <dc:creator>Administrator</dc:creator>
  <cp:lastModifiedBy>紫色阳光</cp:lastModifiedBy>
  <cp:lastPrinted>2017-12-23T09:23:00Z</cp:lastPrinted>
  <dcterms:modified xsi:type="dcterms:W3CDTF">2018-04-16T07:53:19Z</dcterms:modified>
  <dc:title>ygd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