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300" w:right="30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绛县经济开发区行政审批局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300" w:right="30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w:t>
      </w:r>
      <w:r>
        <w:rPr>
          <w:rFonts w:hint="eastAsia" w:ascii="黑体" w:hAnsi="黑体" w:eastAsia="黑体" w:cs="黑体"/>
          <w:bCs/>
          <w:i w:val="0"/>
          <w:iCs w:val="0"/>
          <w:caps w:val="0"/>
          <w:color w:val="585858"/>
          <w:spacing w:val="0"/>
          <w:kern w:val="0"/>
          <w:sz w:val="44"/>
          <w:szCs w:val="44"/>
          <w:shd w:val="clear" w:fill="FFFFFF"/>
          <w:lang w:val="en-US" w:eastAsia="zh-CN" w:bidi="ar"/>
        </w:rPr>
        <w:t>2022年9月26日建设项目环境影响报告表</w:t>
      </w:r>
      <w:r>
        <w:rPr>
          <w:rFonts w:hint="eastAsia" w:ascii="方正小标宋简体" w:hAnsi="方正小标宋简体" w:eastAsia="方正小标宋简体" w:cs="方正小标宋简体"/>
          <w:b w:val="0"/>
          <w:bCs/>
          <w:i w:val="0"/>
          <w:caps w:val="0"/>
          <w:color w:val="333333"/>
          <w:spacing w:val="0"/>
          <w:sz w:val="44"/>
          <w:szCs w:val="44"/>
          <w:shd w:val="clear" w:fill="FFFFFF"/>
        </w:rPr>
        <w:t>拟</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进行</w:t>
      </w:r>
      <w:r>
        <w:rPr>
          <w:rFonts w:hint="eastAsia" w:ascii="方正小标宋简体" w:hAnsi="方正小标宋简体" w:eastAsia="方正小标宋简体" w:cs="方正小标宋简体"/>
          <w:b w:val="0"/>
          <w:bCs/>
          <w:i w:val="0"/>
          <w:caps w:val="0"/>
          <w:color w:val="333333"/>
          <w:spacing w:val="0"/>
          <w:sz w:val="44"/>
          <w:szCs w:val="44"/>
          <w:shd w:val="clear" w:fill="FFFFFF"/>
        </w:rPr>
        <w:t>审批的公示</w:t>
      </w:r>
    </w:p>
    <w:p>
      <w:pPr>
        <w:rPr>
          <w:rFonts w:hint="eastAsia"/>
        </w:rPr>
      </w:pPr>
    </w:p>
    <w:p>
      <w:p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根据建设项目环境影响评价审批程序的有关规定，我局拟对</w:t>
      </w:r>
      <w:r>
        <w:rPr>
          <w:rFonts w:hint="eastAsia" w:ascii="仿宋_GB2312" w:hAnsi="仿宋_GB2312" w:eastAsia="仿宋_GB2312" w:cs="仿宋_GB2312"/>
          <w:bCs/>
          <w:i w:val="0"/>
          <w:iCs w:val="0"/>
          <w:caps w:val="0"/>
          <w:color w:val="585858"/>
          <w:spacing w:val="0"/>
          <w:kern w:val="0"/>
          <w:sz w:val="32"/>
          <w:szCs w:val="32"/>
          <w:shd w:val="clear" w:fill="FFFFFF"/>
          <w:lang w:val="en-US" w:eastAsia="zh-CN" w:bidi="ar"/>
        </w:rPr>
        <w:t>1个建设项目环境影响评价文件</w:t>
      </w:r>
      <w:r>
        <w:rPr>
          <w:rFonts w:hint="eastAsia" w:ascii="仿宋_GB2312" w:hAnsi="仿宋_GB2312" w:eastAsia="仿宋_GB2312" w:cs="仿宋_GB2312"/>
          <w:i w:val="0"/>
          <w:caps w:val="0"/>
          <w:color w:val="333333"/>
          <w:spacing w:val="0"/>
          <w:sz w:val="32"/>
          <w:szCs w:val="32"/>
          <w:shd w:val="clear" w:fill="FFFFFF"/>
        </w:rPr>
        <w:t>进行审批。为保证审批工作的严肃性和公正性，现将拟审批的环境影响评价文件基本情况予以公示，公示期为202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26</w:t>
      </w:r>
      <w:r>
        <w:rPr>
          <w:rFonts w:hint="eastAsia" w:ascii="仿宋_GB2312" w:hAnsi="仿宋_GB2312" w:eastAsia="仿宋_GB2312" w:cs="仿宋_GB2312"/>
          <w:i w:val="0"/>
          <w:caps w:val="0"/>
          <w:color w:val="333333"/>
          <w:spacing w:val="0"/>
          <w:sz w:val="32"/>
          <w:szCs w:val="32"/>
          <w:shd w:val="clear" w:fill="FFFFFF"/>
        </w:rPr>
        <w:t>日－202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29</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个工作日）。</w:t>
      </w:r>
    </w:p>
    <w:p>
      <w:p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　　听证权利告知：依据《中华人民共和国行政许可法》，自公示起</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日内申请人、利害关系人可提出听证申请。联系电话：0359-</w:t>
      </w:r>
      <w:r>
        <w:rPr>
          <w:rFonts w:hint="eastAsia" w:ascii="仿宋_GB2312" w:hAnsi="仿宋_GB2312" w:eastAsia="仿宋_GB2312" w:cs="仿宋_GB2312"/>
          <w:i w:val="0"/>
          <w:caps w:val="0"/>
          <w:color w:val="333333"/>
          <w:spacing w:val="0"/>
          <w:sz w:val="32"/>
          <w:szCs w:val="32"/>
          <w:shd w:val="clear" w:fill="FFFFFF"/>
          <w:lang w:val="en-US" w:eastAsia="zh-CN"/>
        </w:rPr>
        <w:t>6568639</w:t>
      </w:r>
      <w:r>
        <w:rPr>
          <w:rFonts w:hint="eastAsia" w:ascii="仿宋_GB2312" w:hAnsi="仿宋_GB2312" w:eastAsia="仿宋_GB2312" w:cs="仿宋_GB2312"/>
          <w:i w:val="0"/>
          <w:caps w:val="0"/>
          <w:color w:val="333333"/>
          <w:spacing w:val="0"/>
          <w:sz w:val="32"/>
          <w:szCs w:val="32"/>
          <w:shd w:val="clear" w:fill="FFFFFF"/>
        </w:rPr>
        <w:t>　　通讯地址：</w:t>
      </w:r>
      <w:r>
        <w:rPr>
          <w:rFonts w:hint="eastAsia" w:ascii="仿宋_GB2312" w:hAnsi="仿宋_GB2312" w:eastAsia="仿宋_GB2312" w:cs="仿宋_GB2312"/>
          <w:i w:val="0"/>
          <w:caps w:val="0"/>
          <w:color w:val="333333"/>
          <w:spacing w:val="0"/>
          <w:sz w:val="32"/>
          <w:szCs w:val="32"/>
          <w:shd w:val="clear" w:fill="FFFFFF"/>
          <w:lang w:eastAsia="zh-CN"/>
        </w:rPr>
        <w:t>绛县经济开发区政务大厅</w:t>
      </w:r>
    </w:p>
    <w:p>
      <w:pP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邮    编：043600</w:t>
      </w:r>
    </w:p>
    <w:p>
      <w:p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p>
    <w:p>
      <w:p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p>
    <w:p>
      <w:pPr>
        <w:rPr>
          <w:rFonts w:hint="eastAsia" w:ascii="仿宋_GB2312" w:hAnsi="仿宋_GB2312" w:eastAsia="仿宋_GB2312" w:cs="仿宋_GB2312"/>
          <w:i w:val="0"/>
          <w:caps w:val="0"/>
          <w:color w:val="333333"/>
          <w:spacing w:val="0"/>
          <w:sz w:val="32"/>
          <w:szCs w:val="32"/>
          <w:shd w:val="clear" w:fill="FFFFFF"/>
          <w:lang w:eastAsia="zh-CN"/>
        </w:rPr>
      </w:pPr>
    </w:p>
    <w:tbl>
      <w:tblPr>
        <w:tblStyle w:val="8"/>
        <w:tblpPr w:leftFromText="180" w:rightFromText="180" w:vertAnchor="text" w:horzAnchor="page" w:tblpX="1993" w:tblpY="-6366"/>
        <w:tblOverlap w:val="never"/>
        <w:tblW w:w="12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35"/>
        <w:gridCol w:w="866"/>
        <w:gridCol w:w="633"/>
        <w:gridCol w:w="818"/>
        <w:gridCol w:w="1473"/>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90"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t>序号</w:t>
            </w:r>
          </w:p>
        </w:tc>
        <w:tc>
          <w:tcPr>
            <w:tcW w:w="835"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t>项目名称</w:t>
            </w:r>
          </w:p>
        </w:tc>
        <w:tc>
          <w:tcPr>
            <w:tcW w:w="866"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t>建设单位</w:t>
            </w:r>
          </w:p>
        </w:tc>
        <w:tc>
          <w:tcPr>
            <w:tcW w:w="633"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t>建设地点</w:t>
            </w:r>
          </w:p>
        </w:tc>
        <w:tc>
          <w:tcPr>
            <w:tcW w:w="81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i w:val="0"/>
                <w:iCs w:val="0"/>
                <w:caps w:val="0"/>
                <w:color w:val="585858"/>
                <w:spacing w:val="0"/>
                <w:sz w:val="18"/>
                <w:szCs w:val="18"/>
              </w:rPr>
            </w:pPr>
            <w:r>
              <w:rPr>
                <w:rFonts w:hint="eastAsia" w:asciiTheme="minorEastAsia" w:hAnsiTheme="minorEastAsia" w:eastAsiaTheme="minorEastAsia" w:cstheme="minorEastAsia"/>
                <w:bCs/>
                <w:i w:val="0"/>
                <w:iCs w:val="0"/>
                <w:caps w:val="0"/>
                <w:color w:val="585858"/>
                <w:spacing w:val="0"/>
                <w:kern w:val="0"/>
                <w:sz w:val="18"/>
                <w:szCs w:val="18"/>
                <w:shd w:val="clear" w:fill="FFFFFF"/>
                <w:lang w:val="en-US" w:eastAsia="zh-CN" w:bidi="ar"/>
              </w:rPr>
              <w:t>报告编制单位</w:t>
            </w:r>
          </w:p>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p>
        </w:tc>
        <w:tc>
          <w:tcPr>
            <w:tcW w:w="1473"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sz w:val="18"/>
                <w:szCs w:val="18"/>
                <w:shd w:val="clear" w:fill="FFFFFF"/>
                <w:lang w:eastAsia="zh-CN"/>
              </w:rPr>
              <w:t>项目概况</w:t>
            </w:r>
          </w:p>
        </w:tc>
        <w:tc>
          <w:tcPr>
            <w:tcW w:w="7423"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sz w:val="18"/>
                <w:szCs w:val="18"/>
                <w:shd w:val="clear" w:fill="FFFFFF"/>
                <w:lang w:eastAsia="zh-CN"/>
              </w:rPr>
            </w:pPr>
            <w:r>
              <w:rPr>
                <w:rFonts w:hint="eastAsia" w:asciiTheme="minorEastAsia" w:hAnsiTheme="minorEastAsia" w:eastAsiaTheme="minorEastAsia" w:cstheme="minorEastAsia"/>
                <w:i w:val="0"/>
                <w:iCs w:val="0"/>
                <w:caps w:val="0"/>
                <w:color w:val="585858"/>
                <w:spacing w:val="0"/>
                <w:sz w:val="18"/>
                <w:szCs w:val="18"/>
                <w:shd w:val="clear" w:fill="FFFFFF"/>
                <w:lang w:eastAsia="zh-CN"/>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690" w:type="dxa"/>
            <w:vAlign w:val="center"/>
          </w:tcPr>
          <w:p>
            <w:pPr>
              <w:pStyle w:val="6"/>
              <w:keepNext w:val="0"/>
              <w:keepLines w:val="0"/>
              <w:widowControl/>
              <w:suppressLineNumbers w:val="0"/>
              <w:spacing w:before="0" w:beforeAutospacing="0" w:after="0" w:afterAutospacing="0"/>
              <w:ind w:right="0"/>
              <w:jc w:val="cente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r>
              <w:rPr>
                <w:rFonts w:hint="eastAsia"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t>1</w:t>
            </w:r>
          </w:p>
        </w:tc>
        <w:tc>
          <w:tcPr>
            <w:tcW w:w="835" w:type="dxa"/>
            <w:vAlign w:val="center"/>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rPr>
              <w:t>环保纸质包装制品项目</w:t>
            </w:r>
          </w:p>
        </w:tc>
        <w:tc>
          <w:tcPr>
            <w:tcW w:w="866" w:type="dxa"/>
            <w:vAlign w:val="center"/>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shd w:val="clear" w:color="auto" w:fill="FFFFFF"/>
              </w:rPr>
              <w:t>山西鸿源生物纤维科技有限公司</w:t>
            </w:r>
          </w:p>
        </w:tc>
        <w:tc>
          <w:tcPr>
            <w:tcW w:w="633" w:type="dxa"/>
            <w:vAlign w:val="center"/>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山西省运城市绛县增村南窑西侧230 m处</w:t>
            </w:r>
          </w:p>
        </w:tc>
        <w:tc>
          <w:tcPr>
            <w:tcW w:w="818" w:type="dxa"/>
            <w:vAlign w:val="center"/>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山西方维工程管理咨询有限公司</w:t>
            </w:r>
          </w:p>
        </w:tc>
        <w:tc>
          <w:tcPr>
            <w:tcW w:w="1473" w:type="dxa"/>
            <w:vAlign w:val="center"/>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山西鸿源生物纤维科技有限公司环保纸质包装制品项目，投资3200万，本项目占地6654.37㎡，新建标准化厂房、库房、办公楼等5000平方米，购置全自动生产线2条，热压机20台，水力碎浆机2台，半自动生产设备6套，年生产环保纸质包装5000万套。</w:t>
            </w:r>
          </w:p>
          <w:p>
            <w:pPr>
              <w:spacing w:line="480" w:lineRule="exact"/>
              <w:ind w:firstLine="345" w:firstLineChars="192"/>
              <w:jc w:val="left"/>
              <w:rPr>
                <w:rFonts w:hint="default" w:asciiTheme="minorEastAsia" w:hAnsiTheme="minorEastAsia" w:eastAsiaTheme="minorEastAsia" w:cstheme="minorEastAsia"/>
                <w:i w:val="0"/>
                <w:iCs w:val="0"/>
                <w:caps w:val="0"/>
                <w:color w:val="585858"/>
                <w:spacing w:val="0"/>
                <w:kern w:val="0"/>
                <w:sz w:val="18"/>
                <w:szCs w:val="18"/>
                <w:shd w:val="clear" w:fill="FFFFFF"/>
                <w:vertAlign w:val="baseline"/>
                <w:lang w:val="en-US" w:eastAsia="zh-CN" w:bidi="ar"/>
              </w:rPr>
            </w:pPr>
          </w:p>
        </w:tc>
        <w:tc>
          <w:tcPr>
            <w:tcW w:w="7423" w:type="dxa"/>
            <w:vAlign w:val="top"/>
          </w:tcPr>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项目在建设过程和日常运行管理中，要严格按照国家规定，全面落实《报告表》提出的各项环境管理措施和污染防治措施，主要做好以下工作：</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（一）严格落实大气污染防治措施。本项目产生的废气主要来自于煤层天然气燃烧，煤层天然气燃烧机产生的废气经低氮燃烧后通过15m高排气筒排放，排放的污染物（颗粒物、NOX 、SO2）可以满足《工业窑炉大气污染物排放标准》（GB 9078-1996）表2中干燥炉二级标准，同时也满足《山西省工业炉窑大气污染综合治理实施方案》（【2019】164号）的排放要求。</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二）严格落实水污染防治措施。本项目运营期废水包括生活污水和生产废水、地坪清洗废水，生活污水和地坪冲洗废水经化粪池处理后定期清掏肥田，不外排；生产废水水质成分简单，经过循环水池沉淀后回用于水力碎浆机，不外排。</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三）严格落实地下水污染防治措施。按照分区防渗要求进行严格防渗，落实环评提出的“源头控制、分区防控、污染监控、应急响应”的地下水污染防控措施和“源头控制、过程阻断、分区防控”的土壤污染防控措施。</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（四）严格落实噪声污染防治措施。选用低噪声设备，安装减振机座、消声器，建筑隔声等措施。</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（五）严格落实固体废物污染防治措施。</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本项目产生的固废主要为成型过程产生的残次品、循环沉淀池产生的沉渣、生活垃圾、废机油和废棉纱手套。</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成型过程产生的残次品回用与生产；生活垃圾设垃圾桶收集，送往当地环卫部门指定地点；循环沉淀池产生的沉渣在晾晒区晒干后同生活垃圾一起送至环卫部门指定地点；废机油和废棉纱手套暂存于厂区危废暂存间，委托有危废处理资质单位处理。</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（六）强化环境风险防范和应急管理。建立环境风险防控体系，制定并完善环境风险应急预案，定期开展环境应急演练，防止环境污染事故发生。</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（七）环境影响报告表经批准后，项目的性质、规模、地点或生态保护、污染防治措施发生重大变动的，应按要求重新报批环境影响报告表。</w:t>
            </w:r>
          </w:p>
          <w:p>
            <w:pPr>
              <w:spacing w:line="360" w:lineRule="exact"/>
              <w:ind w:firstLine="0" w:firstLineChars="0"/>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（八）加强公众沟通和科普宣传，及时解决公众提出的合理环境诉求，及时公开项目建设与环境保护信息，主动接受社会监督。</w:t>
            </w:r>
          </w:p>
          <w:p>
            <w:pPr>
              <w:widowControl/>
              <w:spacing w:line="360" w:lineRule="exact"/>
              <w:ind w:firstLine="0" w:firstLineChars="0"/>
              <w:jc w:val="left"/>
              <w:rPr>
                <w:rFonts w:hint="eastAsia" w:ascii="Times New Roman" w:hAnsi="Times New Roman" w:eastAsia="仿宋" w:cs="Times New Roman"/>
                <w:color w:val="585858"/>
                <w:kern w:val="0"/>
                <w:sz w:val="21"/>
                <w:szCs w:val="21"/>
                <w:shd w:val="clear" w:color="auto" w:fill="FFFFFF"/>
                <w:lang w:val="en-US" w:eastAsia="zh-CN" w:bidi="ar"/>
              </w:rPr>
            </w:pPr>
          </w:p>
        </w:tc>
      </w:tr>
    </w:tbl>
    <w:p>
      <w:pPr>
        <w:pStyle w:val="4"/>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TZiOTliNmI2NmY4ODk1YmY3Y2FlOGQzNDRkMjQifQ=="/>
  </w:docVars>
  <w:rsids>
    <w:rsidRoot w:val="2A1776CE"/>
    <w:rsid w:val="03193EFD"/>
    <w:rsid w:val="211A7A74"/>
    <w:rsid w:val="23067514"/>
    <w:rsid w:val="2A1776CE"/>
    <w:rsid w:val="2A23372A"/>
    <w:rsid w:val="3AA7165C"/>
    <w:rsid w:val="4B06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宋体" w:hAnsi="Times New Roman" w:cs="宋体"/>
      <w:color w:val="000000"/>
      <w:sz w:val="24"/>
      <w:szCs w:val="24"/>
    </w:rPr>
  </w:style>
  <w:style w:type="paragraph" w:customStyle="1" w:styleId="3">
    <w:name w:val="纯文本1"/>
    <w:basedOn w:val="1"/>
    <w:qFormat/>
    <w:uiPriority w:val="0"/>
    <w:pPr>
      <w:adjustRightInd w:val="0"/>
    </w:pPr>
    <w:rPr>
      <w:rFonts w:hAnsi="Courier New"/>
      <w:szCs w:val="20"/>
    </w:rPr>
  </w:style>
  <w:style w:type="paragraph" w:customStyle="1" w:styleId="4">
    <w:name w:val="Char Char Char Char Char Char1 Char Char Char Char"/>
    <w:basedOn w:val="1"/>
    <w:next w:val="1"/>
    <w:qFormat/>
    <w:uiPriority w:val="0"/>
    <w:pPr>
      <w:widowControl w:val="0"/>
      <w:autoSpaceDE/>
      <w:autoSpaceDN/>
      <w:spacing w:before="0" w:after="0" w:line="360" w:lineRule="auto"/>
      <w:ind w:left="0" w:firstLine="200"/>
      <w:jc w:val="both"/>
    </w:pPr>
    <w:rPr>
      <w:rFonts w:ascii="Times New Roman" w:eastAsia="宋体"/>
      <w:sz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00正文"/>
    <w:basedOn w:val="1"/>
    <w:qFormat/>
    <w:uiPriority w:val="0"/>
    <w:pPr>
      <w:spacing w:line="520" w:lineRule="exact"/>
      <w:textAlignment w:val="baseline"/>
    </w:pPr>
    <w:rPr>
      <w:rFonts w:cs="Times New Roman"/>
      <w:szCs w:val="24"/>
    </w:rPr>
  </w:style>
  <w:style w:type="paragraph" w:customStyle="1" w:styleId="11">
    <w:name w:val="01正文"/>
    <w:basedOn w:val="1"/>
    <w:qFormat/>
    <w:uiPriority w:val="0"/>
    <w:pPr>
      <w:spacing w:line="460" w:lineRule="exact"/>
    </w:pPr>
    <w:rPr>
      <w:rFonts w:cs="Times New Roman"/>
      <w:color w:val="00000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2406</Words>
  <Characters>2506</Characters>
  <Lines>0</Lines>
  <Paragraphs>0</Paragraphs>
  <TotalTime>3</TotalTime>
  <ScaleCrop>false</ScaleCrop>
  <LinksUpToDate>false</LinksUpToDate>
  <CharactersWithSpaces>2524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2022-08-05T01:20:00Z</dcterms:created>
  <dc:creator>Mer</dc:creator>
  <cp:lastModifiedBy>Mer</cp:lastModifiedBy>
  <dcterms:modified xsi:type="dcterms:W3CDTF">2022-09-26T09:33:58Z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A725D47F94004827B5DBB1BE814D6CA3</vt:lpwstr>
  </property>
</Properties>
</file>