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00" w:right="30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绛县经济开发区行政审批局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00" w:right="30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585858"/>
          <w:spacing w:val="0"/>
          <w:kern w:val="0"/>
          <w:sz w:val="44"/>
          <w:szCs w:val="44"/>
          <w:shd w:val="clear" w:fill="FFFFFF"/>
          <w:lang w:val="en-US" w:eastAsia="zh-CN" w:bidi="ar"/>
        </w:rPr>
        <w:t>2023年1月16日建设项目环境影响报告表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进行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审批的公示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根据建设项目环境影响评价审批程序的有关规定，我局拟对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585858"/>
          <w:spacing w:val="0"/>
          <w:kern w:val="0"/>
          <w:sz w:val="32"/>
          <w:szCs w:val="32"/>
          <w:shd w:val="clear" w:fill="FFFFFF"/>
          <w:lang w:val="en-US" w:eastAsia="zh-CN" w:bidi="ar"/>
        </w:rPr>
        <w:t>1个建设项目环境影响评价文件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进行审批。为保证审批工作的严肃性和公正性，现将拟审批的环境影响评价文件基本情况予以公示，公示期为202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日－202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个工作日）。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听证权利告知：依据《中华人民共和国行政许可法》，自公示起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日内申请人、利害关系人可提出听证申请。联系电话：0359-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6568639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通讯地址：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绛县经济开发区政务大厅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邮    编：043600</w:t>
      </w:r>
    </w:p>
    <w:p/>
    <w:p/>
    <w:p/>
    <w:p/>
    <w:p/>
    <w:p/>
    <w:p/>
    <w:p/>
    <w:p/>
    <w:tbl>
      <w:tblPr>
        <w:tblStyle w:val="4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00"/>
        <w:gridCol w:w="990"/>
        <w:gridCol w:w="990"/>
        <w:gridCol w:w="1020"/>
        <w:gridCol w:w="1395"/>
        <w:gridCol w:w="3916"/>
        <w:gridCol w:w="5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建设单位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报告编制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585858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39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sz w:val="18"/>
                <w:szCs w:val="18"/>
                <w:shd w:val="clear" w:fill="FFFFFF"/>
                <w:lang w:eastAsia="zh-CN"/>
              </w:rPr>
              <w:t>项目概况</w:t>
            </w:r>
          </w:p>
        </w:tc>
        <w:tc>
          <w:tcPr>
            <w:tcW w:w="526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585858"/>
                <w:spacing w:val="0"/>
                <w:sz w:val="18"/>
                <w:szCs w:val="18"/>
                <w:shd w:val="clear" w:fill="FFFFFF"/>
                <w:lang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3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年产6000吨锂电池负极材料项目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山西聚能科技有限公司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0"/>
                <w:szCs w:val="20"/>
                <w:lang w:val="en-US" w:eastAsia="zh-CN" w:bidi="ar-SA"/>
              </w:rPr>
              <w:t>山西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运城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绛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经济技术开发区范村南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山西中信科联环保科技有限公司</w:t>
            </w:r>
          </w:p>
        </w:tc>
        <w:tc>
          <w:tcPr>
            <w:tcW w:w="39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585858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585858"/>
                <w:kern w:val="0"/>
                <w:sz w:val="20"/>
                <w:szCs w:val="20"/>
                <w:shd w:val="clear" w:color="auto" w:fill="FFFFFF"/>
                <w:lang w:bidi="ar"/>
              </w:rPr>
              <w:t>项目主要建设内容包括：1条锂电池负极材料生产线，包括中温改性生产单元，设4台中温改性卧式反应釜；石墨化生产单元，设14台特种纯化炉；保温料吸料行车1台，负极材料产品吸料机一台，普通行车1台；2套保温料筛分系统；成品包装生产单元，设2台混料机、筛分系统、吨包袋包装机和包装膜缠绕机。同时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585858"/>
                <w:kern w:val="0"/>
                <w:sz w:val="20"/>
                <w:szCs w:val="20"/>
                <w:shd w:val="clear" w:color="auto" w:fill="FFFFFF"/>
                <w:lang w:bidi="ar"/>
              </w:rPr>
              <w:t>套建设1套水冷系统，及办公楼和宿舍。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585858"/>
                <w:kern w:val="0"/>
                <w:sz w:val="20"/>
                <w:szCs w:val="20"/>
                <w:shd w:val="clear" w:color="auto" w:fill="FFFFFF"/>
                <w:lang w:bidi="ar"/>
              </w:rPr>
              <w:t>项目投产后年产锂电池负极材料6000吨。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5266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项目在建设过程和日常运行管理中，要严格按照国家规定，全面落实《报告表》提出的各项环境管理措施和污染防治措施，主要做好以下工作：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严格落实大气污染防治措施。项目中温改性釜进料使用真空给料机给料，严格控制给料过程中粉尘无组织排放。出料配设集尘罩，粉尘收集后经布袋除尘器处理后排放。2套冶金焦筛分系统分别配套1套集除尘系统，粉尘收集后经布袋除尘器处理后排放。石墨化炉配套设“石灰石膏法脱硫+湿电除尘”环保设施。石墨化炉自动卸吸料天车配套布袋除尘器。2套成品包装生产线配套设2套布袋除尘系统。确保污染物排放能够满足《炭素工业大气污染物排放标准》（T/ZGTS001-2019）固定的有组织和无组织排放限值要求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二）严格落实水污染防治措施。本项目运营期废水无生产废水产生。生活污水配套设地埋式污水处理站，污水经处理后用于厂区绿化和道路抑尘，不外排。初期雨水配套设初期雨水收集池，汽车冲洗平台配套设沉淀水池。全厂投运后无废水外排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三）严格落实地下水污染防治措施。按照分区防渗要求进行严格防渗，落实环评提出的“源头控制、分区防控、污染监控、应急响应”的地下水污染防控措施和“源头控制、过程阻断、分区防控”的土壤污染防控措施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（四）严格落实噪声污染防治措施。选用低噪声设备，安装减振机座、消声器，建筑隔声等措施。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（五）严格落实固体废物污染防治措施。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本项目产生的固废主要为废冶金焦、脱硫石膏、废矿物油，以及生活垃圾。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废冶金焦可作为增炭剂全部外售综合利用，废脱硫石膏外售至水泥厂或混凝土搅拌站等建材企业，废矿物油委托有资质单位清运处置，生活垃圾清运至环卫部门指定的地点处理。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（六）强化环境风险防范和应急管理。建立环境风险防控体系，制定并完善环境风险应急预案，定期开展环境应急演练，防止环境污染事故发生。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（七）环境影响报告表经批准后，项目的性质、规模、地点或生态保护、污染防治措施发生重大变动的，应按要求重新报批环境影响报告表。</w:t>
            </w:r>
          </w:p>
          <w:p>
            <w:pPr>
              <w:spacing w:line="360" w:lineRule="exact"/>
              <w:ind w:firstLine="200" w:firstLineChars="100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（八）加强公众沟通和科普宣传，及时解决公众提出的合理环境诉求，及时公开项目建设与环境保护信息，主动接受社会监督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zg1ODYyYzljY2I2YWQ3YTk5YjExZDU3ZmI2NDAifQ=="/>
  </w:docVars>
  <w:rsids>
    <w:rsidRoot w:val="65186542"/>
    <w:rsid w:val="65186542"/>
    <w:rsid w:val="6D6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basedOn w:val="7"/>
    <w:next w:val="8"/>
    <w:qFormat/>
    <w:uiPriority w:val="0"/>
    <w:pPr>
      <w:autoSpaceDE w:val="0"/>
      <w:autoSpaceDN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7">
    <w:name w:val="纯文本1"/>
    <w:basedOn w:val="1"/>
    <w:qFormat/>
    <w:uiPriority w:val="0"/>
    <w:pPr>
      <w:adjustRightInd w:val="0"/>
    </w:pPr>
    <w:rPr>
      <w:rFonts w:hAnsi="Courier New"/>
      <w:szCs w:val="20"/>
    </w:rPr>
  </w:style>
  <w:style w:type="paragraph" w:customStyle="1" w:styleId="8">
    <w:name w:val="Char Char Char Char Char Char1 Char Char Char Char"/>
    <w:basedOn w:val="1"/>
    <w:next w:val="1"/>
    <w:qFormat/>
    <w:uiPriority w:val="0"/>
    <w:pPr>
      <w:widowControl w:val="0"/>
      <w:autoSpaceDE/>
      <w:autoSpaceDN/>
      <w:spacing w:before="0" w:after="0" w:line="360" w:lineRule="auto"/>
      <w:ind w:left="0" w:firstLine="200"/>
      <w:jc w:val="both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1350</Words>
  <Characters>1398</Characters>
  <Lines>0</Lines>
  <Paragraphs>0</Paragraphs>
  <TotalTime>15</TotalTime>
  <ScaleCrop>false</ScaleCrop>
  <LinksUpToDate>false</LinksUpToDate>
  <CharactersWithSpaces>1404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2023-01-16T06:59:00Z</dcterms:created>
  <dc:creator>开心</dc:creator>
  <cp:lastModifiedBy>开心</cp:lastModifiedBy>
  <cp:lastPrinted>2023-01-16T07:14:35Z</cp:lastPrinted>
  <dcterms:modified xsi:type="dcterms:W3CDTF">2023-01-16T07:20:28Z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BF3744C5224C4B7387BD0908E4ECC07A</vt:lpwstr>
  </property>
</Properties>
</file>