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00" w:right="30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绛县经济开发区行政审批局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300" w:right="30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iCs w:val="0"/>
          <w:caps w:val="0"/>
          <w:color w:val="585858"/>
          <w:spacing w:val="0"/>
          <w:kern w:val="0"/>
          <w:sz w:val="44"/>
          <w:szCs w:val="44"/>
          <w:shd w:val="clear" w:fill="FFFFFF"/>
          <w:lang w:val="en-US" w:eastAsia="zh-CN" w:bidi="ar"/>
        </w:rPr>
        <w:t>2023年1月18日建设项目环境影响报告表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进行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审批的公示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根据建设项目环境影响评价审批程序的有关规定，我局拟对</w:t>
      </w:r>
      <w:r>
        <w:rPr>
          <w:rFonts w:hint="eastAsia" w:ascii="仿宋_GB2312" w:hAnsi="仿宋_GB2312" w:eastAsia="仿宋_GB2312" w:cs="仿宋_GB2312"/>
          <w:bCs/>
          <w:i w:val="0"/>
          <w:iCs w:val="0"/>
          <w:caps w:val="0"/>
          <w:color w:val="585858"/>
          <w:spacing w:val="0"/>
          <w:kern w:val="0"/>
          <w:sz w:val="32"/>
          <w:szCs w:val="32"/>
          <w:shd w:val="clear" w:fill="FFFFFF"/>
          <w:lang w:val="en-US" w:eastAsia="zh-CN" w:bidi="ar"/>
        </w:rPr>
        <w:t>1个建设项目环境影响评价文件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进行审批。为保证审批工作的严肃性和公正性，现将拟审批的环境影响评价文件基本情况予以公示，公示期为202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日－202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个工作日）。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听证权利告知：依据《中华人民共和国行政许可法》，自公示起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日内申请人、利害关系人可提出听证申请。联系电话：0359-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6568639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　　通讯地址：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绛县经济开发区政务大厅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邮    编：043600</w:t>
      </w:r>
    </w:p>
    <w:p/>
    <w:p/>
    <w:p/>
    <w:p/>
    <w:p/>
    <w:p/>
    <w:p/>
    <w:p/>
    <w:p/>
    <w:tbl>
      <w:tblPr>
        <w:tblStyle w:val="7"/>
        <w:tblW w:w="14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12"/>
        <w:gridCol w:w="1083"/>
        <w:gridCol w:w="1117"/>
        <w:gridCol w:w="1083"/>
        <w:gridCol w:w="2034"/>
        <w:gridCol w:w="7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85858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85858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85858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建设单位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85858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建设地点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85858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85858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报告编制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85858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85858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20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85858"/>
                <w:spacing w:val="0"/>
                <w:sz w:val="21"/>
                <w:szCs w:val="21"/>
                <w:shd w:val="clear" w:fill="FFFFFF"/>
                <w:lang w:eastAsia="zh-CN"/>
              </w:rPr>
              <w:t>项目概况</w:t>
            </w:r>
          </w:p>
        </w:tc>
        <w:tc>
          <w:tcPr>
            <w:tcW w:w="71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85858"/>
                <w:spacing w:val="0"/>
                <w:sz w:val="21"/>
                <w:szCs w:val="21"/>
                <w:shd w:val="clear" w:fill="FFFFFF"/>
                <w:lang w:eastAsia="zh-CN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5" w:hRule="atLeast"/>
        </w:trPr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年加工7万吨柱状沥青项目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山西盛合实业有限公司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山西省运城市绛县经济技术开发区卫庄镇韩庄村大坪东南300m处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山西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绿垚环保科技有限公司</w:t>
            </w:r>
          </w:p>
        </w:tc>
        <w:tc>
          <w:tcPr>
            <w:tcW w:w="20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项目主要建设内容包括：新建厂房3500平方米，辅助办公区400平方米，建设智能自动化柱状沥青生产线1条。主要设备有原料储存罐、加热罐及配套环保设施。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项目投产后年加工柱状沥青7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0"/>
                <w:szCs w:val="20"/>
              </w:rPr>
              <w:t>万吨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71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项目在建设过程和日常运行管理中，要严格按照国家规定，全面落实《报告表》提出的各项环境管理措施和污染防治措施，主要做好以下工作：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废气：严格落实大气污染防治措施。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液态沥青储罐密闭，废气经“活性炭吸附”装置处理后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达标排放；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（2）加热罐密闭、中转罐出料口设集气罩，废气经“电捕焦油器+活性炭吸附”装置处理后达标排放。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2、废水：严格落实水污染防治措施。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生产废水：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冷却成型水定期经隔油+两级气浮处理后清水循环使用；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生活废水：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生活污水排入旱厕，定期清掏还田施肥，不外排。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3、噪声：严格落实噪声污染防治措施。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购买低噪声设备；采取基础减振、厂房隔声、消声等措施进行噪声防治，加强厂界及厂区内绿化等。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4、固废：严格落实固体废物污染防治措施。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zh-CN"/>
              </w:rPr>
              <w:t>生活垃圾收集后由当地环卫部门统一处理；废油渣、焦油、废润滑油、废油桶、废活性炭、油泥浮渣收集后暂存于危废暂存间，定期交由有资质的单位处置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。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强化环境风险防范和应急管理。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firstLine="200" w:firstLineChars="10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建立环境风险防控体系，制定并完善环境风险应急预案，定期开展环境应急演练，防止环境污染事故发生。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环境影响报告表经批准后，项目的性质、规模、地点或生态保护、污染防治措施发生重大变动的，应按要求重新报批环境影响报告表。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加强公众沟通和科普宣传，及时解决公众提出的合理环境诉求，及时公开项目建设与环境保护信息，主动接受社会监督。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51AEFD"/>
    <w:multiLevelType w:val="singleLevel"/>
    <w:tmpl w:val="AD51AE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E81EC42"/>
    <w:multiLevelType w:val="singleLevel"/>
    <w:tmpl w:val="4E81EC4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6F8B296F"/>
    <w:multiLevelType w:val="singleLevel"/>
    <w:tmpl w:val="6F8B296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Mzg1ODYyYzljY2I2YWQ3YTk5YjExZDU3ZmI2NDAifQ=="/>
  </w:docVars>
  <w:rsids>
    <w:rsidRoot w:val="65186542"/>
    <w:rsid w:val="05465FAD"/>
    <w:rsid w:val="0A241460"/>
    <w:rsid w:val="0BC1638D"/>
    <w:rsid w:val="0D505C1B"/>
    <w:rsid w:val="0ECE329B"/>
    <w:rsid w:val="178766DD"/>
    <w:rsid w:val="1B6C00C4"/>
    <w:rsid w:val="43410137"/>
    <w:rsid w:val="5A105AE3"/>
    <w:rsid w:val="5EE25574"/>
    <w:rsid w:val="62586279"/>
    <w:rsid w:val="65186542"/>
    <w:rsid w:val="6832131A"/>
    <w:rsid w:val="6CBA7B30"/>
    <w:rsid w:val="6D68133A"/>
    <w:rsid w:val="6E4C2A0A"/>
    <w:rsid w:val="72E15E16"/>
    <w:rsid w:val="7DC7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autoSpaceDE w:val="0"/>
      <w:autoSpaceDN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3">
    <w:name w:val="批注文字1"/>
    <w:qFormat/>
    <w:uiPriority w:val="0"/>
    <w:pPr>
      <w:widowControl w:val="0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styleId="4">
    <w:name w:val="Plain Text"/>
    <w:basedOn w:val="1"/>
    <w:next w:val="1"/>
    <w:qFormat/>
    <w:uiPriority w:val="0"/>
    <w:rPr>
      <w:rFonts w:hint="eastAsia" w:ascii="宋体" w:hAnsi="Courier New" w:eastAsia="宋体" w:cs="Times New Roman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纯文本1"/>
    <w:basedOn w:val="1"/>
    <w:qFormat/>
    <w:uiPriority w:val="0"/>
    <w:pPr>
      <w:adjustRightInd w:val="0"/>
    </w:pPr>
    <w:rPr>
      <w:rFonts w:hAnsi="Courier New"/>
      <w:szCs w:val="20"/>
    </w:rPr>
  </w:style>
  <w:style w:type="paragraph" w:customStyle="1" w:styleId="10">
    <w:name w:val="Char Char Char Char Char Char1 Char Char Char Char"/>
    <w:basedOn w:val="1"/>
    <w:next w:val="1"/>
    <w:qFormat/>
    <w:uiPriority w:val="0"/>
    <w:pPr>
      <w:widowControl w:val="0"/>
      <w:autoSpaceDE/>
      <w:autoSpaceDN/>
      <w:spacing w:before="0" w:after="0" w:line="360" w:lineRule="auto"/>
      <w:ind w:left="0" w:firstLine="200"/>
      <w:jc w:val="both"/>
    </w:pPr>
    <w:rPr>
      <w:rFonts w:ascii="Times New Roman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1016</Characters>
  <Lines>0</Lines>
  <Paragraphs>0</Paragraphs>
  <TotalTime>13</TotalTime>
  <ScaleCrop>false</ScaleCrop>
  <LinksUpToDate>false</LinksUpToDate>
  <CharactersWithSpaces>1026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2023-01-16T06:59:00Z</dcterms:created>
  <dc:creator>开心</dc:creator>
  <cp:lastModifiedBy>开心</cp:lastModifiedBy>
  <cp:lastPrinted>2023-01-18T08:19:46Z</cp:lastPrinted>
  <dcterms:modified xsi:type="dcterms:W3CDTF">2023-01-18T08:27:24Z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97127338FD70446DBFCD4A641CB02E77</vt:lpwstr>
  </property>
</Properties>
</file>