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/>
          <w:color w:val="auto"/>
          <w:kern w:val="2"/>
          <w:sz w:val="44"/>
          <w:szCs w:val="44"/>
          <w:lang w:eastAsia="zh-CN"/>
        </w:rPr>
        <w:t>就业困难人员认定流程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w w:val="99"/>
          <w:sz w:val="32"/>
          <w:szCs w:val="32"/>
          <w:lang w:val="en-US" w:eastAsia="zh-CN"/>
        </w:rPr>
        <w:t>符合条件人员下载打印并填写《运城市就业困难人员认定表》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（表中“社区意见”一栏加盖所在社区公章）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↓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按要求准备材料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办理失业登记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（人社局就业服务中心大厅一楼）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所有资料齐全后交至县人社局就业促进股审核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（人社局一楼105室）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办理完结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OGNhY2ZkMzdjYzhlNTZhNTMxYWVmNmI0YTMxNDUifQ=="/>
  </w:docVars>
  <w:rsids>
    <w:rsidRoot w:val="067E3436"/>
    <w:rsid w:val="067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2023-07-28T02:37:00Z</dcterms:created>
  <dc:creator>小打小闹</dc:creator>
  <cp:lastModifiedBy>小打小闹</cp:lastModifiedBy>
  <dcterms:modified xsi:type="dcterms:W3CDTF">2023-07-28T02:39:07Z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5C62890D801B4ABC9FCF25E9A2771770_11</vt:lpwstr>
  </property>
</Properties>
</file>