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44"/>
          <w:szCs w:val="44"/>
          <w:lang w:eastAsia="zh-CN"/>
        </w:rPr>
        <w:t>绛县水务</w:t>
      </w:r>
      <w:r>
        <w:rPr>
          <w:rFonts w:hint="eastAsia"/>
          <w:b/>
          <w:bCs/>
          <w:sz w:val="44"/>
          <w:szCs w:val="44"/>
        </w:rPr>
        <w:t>局2023年度部门内双随机抽查工作计划</w:t>
      </w:r>
    </w:p>
    <w:tbl>
      <w:tblPr>
        <w:tblStyle w:val="2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31"/>
        <w:gridCol w:w="1149"/>
        <w:gridCol w:w="1974"/>
        <w:gridCol w:w="1094"/>
        <w:gridCol w:w="1100"/>
        <w:gridCol w:w="1572"/>
        <w:gridCol w:w="1581"/>
        <w:gridCol w:w="157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抽查任务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抽查类型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抽查事项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抽查对象范围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抽查比例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信用风险分类管理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抽查检查起止时间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发起主体/牵头单位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对单位/个人取用水行为的监管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定向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对单位/个人取用水行为的监管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取用水企业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-2023.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局发起/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节水与水资源部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牵头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对节约用水的行政检查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定向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对节约用水的行政检查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取用水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企业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-2023.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局发起/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节水与水资源部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牵头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对河道采砂的监管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定向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对河道采砂的监管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涉及河道采砂企业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-2023.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局发起/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水土保持部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牵头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对生产建设项目水土保持的监管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定向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对生产建设项目水土保持的监管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涉及水土保持的企业或建设项目</w:t>
            </w:r>
            <w:bookmarkStart w:id="0" w:name="_GoBack"/>
            <w:bookmarkEnd w:id="0"/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-2023.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局发起/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河道部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牵头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对水工程安全生产的监管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定向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对水工程安全生产的监管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15"/>
                <w:szCs w:val="15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抽查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水工程管理部门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%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根据企业信用风险分类结果，对低风险、一般风险、较高风险、高风险企业分别递加抽查比例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-2023.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局发起/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项目建设管理部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牵头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绛县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>水务局</w:t>
            </w:r>
          </w:p>
        </w:tc>
      </w:tr>
    </w:tbl>
    <w:p/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574A"/>
    <w:rsid w:val="02C041E0"/>
    <w:rsid w:val="0601663E"/>
    <w:rsid w:val="0B1E48A2"/>
    <w:rsid w:val="16413A13"/>
    <w:rsid w:val="1DCC60FA"/>
    <w:rsid w:val="2C1A70F9"/>
    <w:rsid w:val="3989574A"/>
    <w:rsid w:val="40773FFA"/>
    <w:rsid w:val="51AF57B2"/>
    <w:rsid w:val="69780FF8"/>
    <w:rsid w:val="77A103AF"/>
    <w:rsid w:val="7E1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2023-05-06T01:20:00Z</dcterms:created>
  <dc:creator>Administrator</dc:creator>
  <cp:lastModifiedBy>Administrator</cp:lastModifiedBy>
  <dcterms:modified xsi:type="dcterms:W3CDTF">2023-05-06T08:13:58Z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