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B86A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34F6529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0C80DB9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0BDE01A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6456EC1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绛县人民政府202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年政府信息公开</w:t>
      </w:r>
    </w:p>
    <w:p w14:paraId="329EE24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工作年度报告</w:t>
      </w:r>
    </w:p>
    <w:p w14:paraId="51AAAB2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1888C1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根据《中华人民共和国政府信息公开条例》（以下简称《条例》），特公布绛县人民政府202</w:t>
      </w:r>
      <w:r>
        <w:rPr>
          <w:rFonts w:hint="eastAsia" w:ascii="仿宋" w:hAnsi="仿宋" w:eastAsia="仿宋" w:cs="仿宋"/>
          <w:sz w:val="32"/>
          <w:szCs w:val="32"/>
          <w:lang w:val="en-US" w:eastAsia="zh-CN"/>
        </w:rPr>
        <w:t>4</w:t>
      </w:r>
      <w:r>
        <w:rPr>
          <w:rFonts w:hint="eastAsia" w:ascii="仿宋" w:hAnsi="仿宋" w:eastAsia="仿宋" w:cs="仿宋"/>
          <w:sz w:val="32"/>
          <w:szCs w:val="32"/>
        </w:rPr>
        <w:t>年政府信息公开年度报告。本报告由总体情况</w:t>
      </w:r>
      <w:r>
        <w:rPr>
          <w:rFonts w:hint="eastAsia" w:ascii="仿宋" w:hAnsi="仿宋" w:eastAsia="仿宋" w:cs="仿宋"/>
          <w:sz w:val="32"/>
          <w:szCs w:val="32"/>
          <w:lang w:eastAsia="zh-CN"/>
        </w:rPr>
        <w:t>、</w:t>
      </w:r>
      <w:r>
        <w:rPr>
          <w:rFonts w:hint="eastAsia" w:ascii="仿宋" w:hAnsi="仿宋" w:eastAsia="仿宋" w:cs="仿宋"/>
          <w:sz w:val="32"/>
          <w:szCs w:val="32"/>
        </w:rPr>
        <w:t>主动公开政府信息情况</w:t>
      </w:r>
      <w:r>
        <w:rPr>
          <w:rFonts w:hint="eastAsia" w:ascii="仿宋" w:hAnsi="仿宋" w:eastAsia="仿宋" w:cs="仿宋"/>
          <w:sz w:val="32"/>
          <w:szCs w:val="32"/>
          <w:lang w:eastAsia="zh-CN"/>
        </w:rPr>
        <w:t>、</w:t>
      </w:r>
      <w:r>
        <w:rPr>
          <w:rFonts w:hint="eastAsia" w:ascii="仿宋" w:hAnsi="仿宋" w:eastAsia="仿宋" w:cs="仿宋"/>
          <w:sz w:val="32"/>
          <w:szCs w:val="32"/>
        </w:rPr>
        <w:t>收到和处理政府信息公开申请情况</w:t>
      </w:r>
      <w:r>
        <w:rPr>
          <w:rFonts w:hint="eastAsia" w:ascii="仿宋" w:hAnsi="仿宋" w:eastAsia="仿宋" w:cs="仿宋"/>
          <w:sz w:val="32"/>
          <w:szCs w:val="32"/>
          <w:lang w:eastAsia="zh-CN"/>
        </w:rPr>
        <w:t>、</w:t>
      </w:r>
      <w:r>
        <w:rPr>
          <w:rFonts w:hint="eastAsia" w:ascii="仿宋" w:hAnsi="仿宋" w:eastAsia="仿宋" w:cs="仿宋"/>
          <w:sz w:val="32"/>
          <w:szCs w:val="32"/>
        </w:rPr>
        <w:t>政府信息公开行政复议、行政诉讼情况，存在的主要问题和改进情况和其他需要报告的事项共六个部分组成。本报告中所列数据的统计期限自202</w:t>
      </w:r>
      <w:r>
        <w:rPr>
          <w:rFonts w:hint="eastAsia" w:ascii="仿宋" w:hAnsi="仿宋" w:eastAsia="仿宋" w:cs="仿宋"/>
          <w:sz w:val="32"/>
          <w:szCs w:val="32"/>
          <w:lang w:val="en-US" w:eastAsia="zh-CN"/>
        </w:rPr>
        <w:t>4</w:t>
      </w:r>
      <w:r>
        <w:rPr>
          <w:rFonts w:hint="eastAsia" w:ascii="仿宋" w:hAnsi="仿宋" w:eastAsia="仿宋" w:cs="仿宋"/>
          <w:sz w:val="32"/>
          <w:szCs w:val="32"/>
        </w:rPr>
        <w:t>年1月1日起，至202</w:t>
      </w:r>
      <w:r>
        <w:rPr>
          <w:rFonts w:hint="eastAsia" w:ascii="仿宋" w:hAnsi="仿宋" w:eastAsia="仿宋" w:cs="仿宋"/>
          <w:sz w:val="32"/>
          <w:szCs w:val="32"/>
          <w:lang w:val="en-US" w:eastAsia="zh-CN"/>
        </w:rPr>
        <w:t>4</w:t>
      </w:r>
      <w:r>
        <w:rPr>
          <w:rFonts w:hint="eastAsia" w:ascii="仿宋" w:hAnsi="仿宋" w:eastAsia="仿宋" w:cs="仿宋"/>
          <w:sz w:val="32"/>
          <w:szCs w:val="32"/>
        </w:rPr>
        <w:t>年12月31日止。本报告的电子版可在绛县人民政府门户网站（www.jiangxian.gov.cn)浏览和下载。</w:t>
      </w:r>
    </w:p>
    <w:p w14:paraId="323066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一、总体情况</w:t>
      </w:r>
    </w:p>
    <w:p w14:paraId="57BD02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年，绛县人民政府严格执行《条例》和上级部门关于政务公开工作的要求，推进政务公开体系建设，切实提高政府信息公开工作的规范化、制度化水平。现将工作开展情况汇报如下：</w:t>
      </w:r>
    </w:p>
    <w:p w14:paraId="526017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（一）主动公开</w:t>
      </w:r>
    </w:p>
    <w:p w14:paraId="6A4B99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年，我县以绛县人民政府门户网站为平台，全方位、</w:t>
      </w:r>
    </w:p>
    <w:p w14:paraId="6FD8EF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14:paraId="3F32861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多渠道的推进政府信息工作，不断强化信息采编审核、网站安全管理工作。</w:t>
      </w:r>
      <w:r>
        <w:rPr>
          <w:rFonts w:ascii="仿宋" w:hAnsi="仿宋" w:eastAsia="仿宋" w:cs="仿宋"/>
          <w:i w:val="0"/>
          <w:iCs w:val="0"/>
          <w:caps w:val="0"/>
          <w:color w:val="333333"/>
          <w:spacing w:val="0"/>
          <w:sz w:val="32"/>
          <w:szCs w:val="32"/>
          <w:u w:val="none"/>
          <w:shd w:val="clear" w:fill="FFFFFF"/>
        </w:rPr>
        <w:t>全县通过政府门户网站主动公开政府信息</w:t>
      </w:r>
      <w:r>
        <w:rPr>
          <w:rFonts w:hint="eastAsia" w:ascii="仿宋" w:hAnsi="仿宋" w:eastAsia="仿宋" w:cs="仿宋"/>
          <w:i w:val="0"/>
          <w:iCs w:val="0"/>
          <w:caps w:val="0"/>
          <w:color w:val="333333"/>
          <w:spacing w:val="0"/>
          <w:sz w:val="32"/>
          <w:szCs w:val="32"/>
          <w:u w:val="none"/>
          <w:shd w:val="clear" w:fill="FFFFFF"/>
        </w:rPr>
        <w:t>2168条，其中概况类信息更新116条，政务动态信息更新765条，信息公开目录信息更新1287条。</w:t>
      </w:r>
    </w:p>
    <w:p w14:paraId="4EF83E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（二）依申请公开</w:t>
      </w:r>
    </w:p>
    <w:p w14:paraId="3E6C9A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依照《条例》的规定，202</w:t>
      </w:r>
      <w:r>
        <w:rPr>
          <w:rFonts w:hint="eastAsia" w:ascii="仿宋" w:hAnsi="仿宋" w:eastAsia="仿宋" w:cs="仿宋"/>
          <w:sz w:val="32"/>
          <w:szCs w:val="32"/>
          <w:lang w:val="en-US" w:eastAsia="zh-CN"/>
        </w:rPr>
        <w:t>4</w:t>
      </w:r>
      <w:r>
        <w:rPr>
          <w:rFonts w:hint="eastAsia" w:ascii="仿宋" w:hAnsi="仿宋" w:eastAsia="仿宋" w:cs="仿宋"/>
          <w:sz w:val="32"/>
          <w:szCs w:val="32"/>
        </w:rPr>
        <w:t>年，绛县各级各部门开展了依申请公开受理工作，共收到依申请公开政府信息数</w:t>
      </w:r>
      <w:r>
        <w:rPr>
          <w:rFonts w:hint="eastAsia" w:ascii="仿宋" w:hAnsi="仿宋" w:eastAsia="仿宋" w:cs="仿宋"/>
          <w:sz w:val="32"/>
          <w:szCs w:val="32"/>
          <w:lang w:val="en-US" w:eastAsia="zh-CN"/>
        </w:rPr>
        <w:t>4</w:t>
      </w:r>
      <w:r>
        <w:rPr>
          <w:rFonts w:hint="eastAsia" w:ascii="仿宋" w:hAnsi="仿宋" w:eastAsia="仿宋" w:cs="仿宋"/>
          <w:sz w:val="32"/>
          <w:szCs w:val="32"/>
        </w:rPr>
        <w:t>件。</w:t>
      </w:r>
    </w:p>
    <w:p w14:paraId="09ADB0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（三）政府信息管理</w:t>
      </w:r>
    </w:p>
    <w:p w14:paraId="339A6E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在全县范围内广泛收集政府最新工作动态，严格按照《条例》及时公开政府信息，确保信息公开及时、迅速。切实关注民生，做到“信息多跑路、群众少跑腿”，倾力打造“数字政府”。</w:t>
      </w:r>
    </w:p>
    <w:p w14:paraId="631AB9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（四）平台建设方面</w:t>
      </w:r>
    </w:p>
    <w:p w14:paraId="59EC7C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政府网站各栏目不断优化升级，政务新媒体发布质量不断提高，目前我县行政单位共有新媒体账号</w:t>
      </w:r>
      <w:r>
        <w:rPr>
          <w:rFonts w:hint="eastAsia" w:ascii="仿宋" w:hAnsi="仿宋" w:eastAsia="仿宋" w:cs="仿宋"/>
          <w:sz w:val="32"/>
          <w:szCs w:val="32"/>
          <w:lang w:val="en-US" w:eastAsia="zh-CN"/>
        </w:rPr>
        <w:t>6</w:t>
      </w:r>
      <w:r>
        <w:rPr>
          <w:rFonts w:hint="eastAsia" w:ascii="仿宋" w:hAnsi="仿宋" w:eastAsia="仿宋" w:cs="仿宋"/>
          <w:sz w:val="32"/>
          <w:szCs w:val="32"/>
        </w:rPr>
        <w:t>个，全年转发或发布中央、省、市、县重要信息</w:t>
      </w:r>
      <w:r>
        <w:rPr>
          <w:rFonts w:hint="eastAsia" w:ascii="CESI仿宋-GB2312" w:hAnsi="CESI仿宋-GB2312" w:eastAsia="CESI仿宋-GB2312" w:cs="CESI仿宋-GB2312"/>
          <w:b w:val="0"/>
          <w:bCs w:val="0"/>
          <w:sz w:val="32"/>
          <w:szCs w:val="32"/>
          <w:lang w:val="en-US" w:eastAsia="zh-CN"/>
        </w:rPr>
        <w:t>3818</w:t>
      </w:r>
      <w:r>
        <w:rPr>
          <w:rFonts w:hint="eastAsia" w:ascii="仿宋" w:hAnsi="仿宋" w:eastAsia="仿宋" w:cs="仿宋"/>
          <w:sz w:val="32"/>
          <w:szCs w:val="32"/>
        </w:rPr>
        <w:t>条。</w:t>
      </w:r>
    </w:p>
    <w:p w14:paraId="54CCA6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（五）政府信息公开监督保障</w:t>
      </w:r>
    </w:p>
    <w:p w14:paraId="6356EA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按照上级部门的规范要求，结合我县实际情况，对政府信息公开的保密审查、信息送交、统计报送等具体工作进行规范。由后台维护公司从内容安全防护措施、应用安全防护措施、服务器安全防护措施三个方面对我县政府门户网站进行全方位的安全技术维护，并提供足够的服务器空间，随时解决出现的技术和网站安全维护问题。我们在工作中定期做好自查和监测，一旦出现网络安全突发情况立即按照政府门户网站网络安全应急预案妥善处置。</w:t>
      </w:r>
    </w:p>
    <w:p w14:paraId="4010C6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Arial" w:hAnsi="Arial" w:cs="Arial"/>
          <w:i w:val="0"/>
          <w:iCs w:val="0"/>
          <w:caps w:val="0"/>
          <w:color w:val="333333"/>
          <w:spacing w:val="0"/>
          <w:sz w:val="24"/>
          <w:szCs w:val="24"/>
          <w:u w:val="none"/>
        </w:rPr>
      </w:pPr>
      <w:r>
        <w:rPr>
          <w:rFonts w:ascii="黑体" w:hAnsi="宋体" w:eastAsia="黑体" w:cs="黑体"/>
          <w:i w:val="0"/>
          <w:iCs w:val="0"/>
          <w:caps w:val="0"/>
          <w:color w:val="333333"/>
          <w:spacing w:val="0"/>
          <w:sz w:val="32"/>
          <w:szCs w:val="32"/>
          <w:u w:val="none"/>
          <w:shd w:val="clear" w:fill="FFFFFF"/>
        </w:rPr>
        <w:t>二、主动公开政府信息情况</w:t>
      </w:r>
    </w:p>
    <w:tbl>
      <w:tblPr>
        <w:tblStyle w:val="4"/>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228"/>
        <w:gridCol w:w="2138"/>
        <w:gridCol w:w="2138"/>
        <w:gridCol w:w="1817"/>
      </w:tblGrid>
      <w:tr w14:paraId="30E9F9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9450" w:type="dxa"/>
            <w:gridSpan w:val="4"/>
            <w:shd w:val="clear" w:color="auto" w:fill="FFFFFF"/>
            <w:vAlign w:val="center"/>
          </w:tcPr>
          <w:p w14:paraId="4A6949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第二十条第（一）项</w:t>
            </w:r>
          </w:p>
        </w:tc>
      </w:tr>
      <w:tr w14:paraId="3108F0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535" w:type="dxa"/>
            <w:shd w:val="clear" w:color="auto" w:fill="FFFFFF"/>
            <w:vAlign w:val="center"/>
          </w:tcPr>
          <w:p w14:paraId="7ACF98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信息内容</w:t>
            </w:r>
          </w:p>
        </w:tc>
        <w:tc>
          <w:tcPr>
            <w:tcW w:w="2430" w:type="dxa"/>
            <w:shd w:val="clear" w:color="auto" w:fill="FFFFFF"/>
            <w:vAlign w:val="center"/>
          </w:tcPr>
          <w:p w14:paraId="01E339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本年制发件数</w:t>
            </w:r>
          </w:p>
        </w:tc>
        <w:tc>
          <w:tcPr>
            <w:tcW w:w="2430" w:type="dxa"/>
            <w:shd w:val="clear" w:color="auto" w:fill="FFFFFF"/>
            <w:vAlign w:val="center"/>
          </w:tcPr>
          <w:p w14:paraId="785CA7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本年废止件数</w:t>
            </w:r>
          </w:p>
        </w:tc>
        <w:tc>
          <w:tcPr>
            <w:tcW w:w="2040" w:type="dxa"/>
            <w:shd w:val="clear" w:color="auto" w:fill="FFFFFF"/>
            <w:vAlign w:val="center"/>
          </w:tcPr>
          <w:p w14:paraId="1D4B09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现行有效件数</w:t>
            </w:r>
          </w:p>
        </w:tc>
      </w:tr>
      <w:tr w14:paraId="0EB57E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535" w:type="dxa"/>
            <w:shd w:val="clear" w:color="auto" w:fill="FFFFFF"/>
            <w:vAlign w:val="center"/>
          </w:tcPr>
          <w:p w14:paraId="7A0138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规章</w:t>
            </w:r>
          </w:p>
        </w:tc>
        <w:tc>
          <w:tcPr>
            <w:tcW w:w="2430" w:type="dxa"/>
            <w:shd w:val="clear" w:color="auto" w:fill="FFFFFF"/>
            <w:vAlign w:val="center"/>
          </w:tcPr>
          <w:p w14:paraId="49A831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ascii="Calibri" w:hAnsi="Calibri" w:eastAsia="Calibri" w:cs="Calibri"/>
                <w:i w:val="0"/>
                <w:iCs w:val="0"/>
                <w:caps w:val="0"/>
                <w:color w:val="333333"/>
                <w:spacing w:val="0"/>
                <w:sz w:val="21"/>
                <w:szCs w:val="21"/>
                <w:u w:val="none"/>
              </w:rPr>
              <w:t>0</w:t>
            </w:r>
          </w:p>
        </w:tc>
        <w:tc>
          <w:tcPr>
            <w:tcW w:w="2430" w:type="dxa"/>
            <w:shd w:val="clear" w:color="auto" w:fill="FFFFFF"/>
            <w:vAlign w:val="center"/>
          </w:tcPr>
          <w:p w14:paraId="28FCB8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040" w:type="dxa"/>
            <w:shd w:val="clear" w:color="auto" w:fill="FFFFFF"/>
            <w:vAlign w:val="center"/>
          </w:tcPr>
          <w:p w14:paraId="71EF4D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r>
      <w:tr w14:paraId="3CDFEB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535" w:type="dxa"/>
            <w:shd w:val="clear" w:color="auto" w:fill="FFFFFF"/>
            <w:vAlign w:val="center"/>
          </w:tcPr>
          <w:p w14:paraId="3C96B5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行政规范性文件</w:t>
            </w:r>
          </w:p>
        </w:tc>
        <w:tc>
          <w:tcPr>
            <w:tcW w:w="2430" w:type="dxa"/>
            <w:shd w:val="clear" w:color="auto" w:fill="FFFFFF"/>
            <w:vAlign w:val="center"/>
          </w:tcPr>
          <w:p w14:paraId="3042A7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3</w:t>
            </w:r>
          </w:p>
        </w:tc>
        <w:tc>
          <w:tcPr>
            <w:tcW w:w="2430" w:type="dxa"/>
            <w:shd w:val="clear" w:color="auto" w:fill="FFFFFF"/>
            <w:vAlign w:val="center"/>
          </w:tcPr>
          <w:p w14:paraId="4462BC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i w:val="0"/>
                <w:iCs w:val="0"/>
                <w:u w:val="none"/>
                <w:lang w:val="en-US" w:eastAsia="zh-CN"/>
              </w:rPr>
            </w:pPr>
            <w:r>
              <w:rPr>
                <w:rFonts w:hint="eastAsia"/>
                <w:i w:val="0"/>
                <w:iCs w:val="0"/>
                <w:u w:val="none"/>
                <w:lang w:val="en-US" w:eastAsia="zh-CN"/>
              </w:rPr>
              <w:t>2</w:t>
            </w:r>
          </w:p>
        </w:tc>
        <w:tc>
          <w:tcPr>
            <w:tcW w:w="2040" w:type="dxa"/>
            <w:shd w:val="clear" w:color="auto" w:fill="FFFFFF"/>
            <w:vAlign w:val="center"/>
          </w:tcPr>
          <w:p w14:paraId="5DC60F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Theme="minorEastAsia"/>
                <w:i w:val="0"/>
                <w:iCs w:val="0"/>
                <w:u w:val="none"/>
                <w:lang w:val="en-US" w:eastAsia="zh-CN"/>
              </w:rPr>
            </w:pPr>
            <w:r>
              <w:rPr>
                <w:rFonts w:hint="eastAsia"/>
                <w:i w:val="0"/>
                <w:iCs w:val="0"/>
                <w:u w:val="none"/>
                <w:lang w:val="en-US" w:eastAsia="zh-CN"/>
              </w:rPr>
              <w:t>12</w:t>
            </w:r>
          </w:p>
        </w:tc>
      </w:tr>
      <w:tr w14:paraId="0B9B4E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450" w:type="dxa"/>
            <w:gridSpan w:val="4"/>
            <w:shd w:val="clear" w:color="auto" w:fill="FFFFFF"/>
            <w:vAlign w:val="center"/>
          </w:tcPr>
          <w:p w14:paraId="05CB49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第二十条第（五）项</w:t>
            </w:r>
          </w:p>
        </w:tc>
      </w:tr>
      <w:tr w14:paraId="634644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535" w:type="dxa"/>
            <w:shd w:val="clear" w:color="auto" w:fill="FFFFFF"/>
            <w:vAlign w:val="center"/>
          </w:tcPr>
          <w:p w14:paraId="12E297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信息内容</w:t>
            </w:r>
          </w:p>
        </w:tc>
        <w:tc>
          <w:tcPr>
            <w:tcW w:w="6915" w:type="dxa"/>
            <w:gridSpan w:val="3"/>
            <w:shd w:val="clear" w:color="auto" w:fill="FFFFFF"/>
            <w:vAlign w:val="center"/>
          </w:tcPr>
          <w:p w14:paraId="78D804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本年处理决定数量</w:t>
            </w:r>
          </w:p>
        </w:tc>
      </w:tr>
      <w:tr w14:paraId="469AB8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535" w:type="dxa"/>
            <w:shd w:val="clear" w:color="auto" w:fill="FFFFFF"/>
            <w:vAlign w:val="center"/>
          </w:tcPr>
          <w:p w14:paraId="2A5B10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行政许可</w:t>
            </w:r>
          </w:p>
        </w:tc>
        <w:tc>
          <w:tcPr>
            <w:tcW w:w="6915" w:type="dxa"/>
            <w:gridSpan w:val="3"/>
            <w:shd w:val="clear" w:color="auto" w:fill="FFFFFF"/>
            <w:vAlign w:val="center"/>
          </w:tcPr>
          <w:p w14:paraId="313CA5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Theme="minorEastAsia"/>
                <w:i w:val="0"/>
                <w:iCs w:val="0"/>
                <w:u w:val="none"/>
                <w:lang w:val="en-US" w:eastAsia="zh-CN"/>
              </w:rPr>
            </w:pPr>
            <w:r>
              <w:rPr>
                <w:rFonts w:hint="eastAsia"/>
                <w:i w:val="0"/>
                <w:iCs w:val="0"/>
                <w:u w:val="none"/>
                <w:lang w:val="en-US" w:eastAsia="zh-CN"/>
              </w:rPr>
              <w:t>1682</w:t>
            </w:r>
          </w:p>
        </w:tc>
      </w:tr>
      <w:tr w14:paraId="27E380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450" w:type="dxa"/>
            <w:gridSpan w:val="4"/>
            <w:shd w:val="clear" w:color="auto" w:fill="FFFFFF"/>
            <w:vAlign w:val="center"/>
          </w:tcPr>
          <w:p w14:paraId="7607B9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第二十条第（六）项</w:t>
            </w:r>
          </w:p>
        </w:tc>
      </w:tr>
      <w:tr w14:paraId="111B6F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535" w:type="dxa"/>
            <w:shd w:val="clear" w:color="auto" w:fill="FFFFFF"/>
            <w:vAlign w:val="center"/>
          </w:tcPr>
          <w:p w14:paraId="4F4A8B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信息内容</w:t>
            </w:r>
          </w:p>
        </w:tc>
        <w:tc>
          <w:tcPr>
            <w:tcW w:w="6915" w:type="dxa"/>
            <w:gridSpan w:val="3"/>
            <w:shd w:val="clear" w:color="auto" w:fill="FFFFFF"/>
            <w:vAlign w:val="center"/>
          </w:tcPr>
          <w:p w14:paraId="518ECE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本年处理决定数量</w:t>
            </w:r>
          </w:p>
        </w:tc>
      </w:tr>
      <w:tr w14:paraId="1BE797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535" w:type="dxa"/>
            <w:shd w:val="clear" w:color="auto" w:fill="FFFFFF"/>
            <w:vAlign w:val="center"/>
          </w:tcPr>
          <w:p w14:paraId="259697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行政处罚</w:t>
            </w:r>
          </w:p>
        </w:tc>
        <w:tc>
          <w:tcPr>
            <w:tcW w:w="6915" w:type="dxa"/>
            <w:gridSpan w:val="3"/>
            <w:shd w:val="clear" w:color="auto" w:fill="FFFFFF"/>
            <w:vAlign w:val="center"/>
          </w:tcPr>
          <w:p w14:paraId="2C90CE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Theme="minorEastAsia"/>
                <w:i w:val="0"/>
                <w:iCs w:val="0"/>
                <w:u w:val="none"/>
                <w:lang w:val="en-US" w:eastAsia="zh-CN"/>
              </w:rPr>
            </w:pPr>
            <w:r>
              <w:rPr>
                <w:rFonts w:hint="eastAsia"/>
                <w:i w:val="0"/>
                <w:iCs w:val="0"/>
                <w:u w:val="none"/>
                <w:lang w:val="en-US" w:eastAsia="zh-CN"/>
              </w:rPr>
              <w:t>323</w:t>
            </w:r>
            <w:bookmarkStart w:id="0" w:name="_GoBack"/>
            <w:bookmarkEnd w:id="0"/>
          </w:p>
        </w:tc>
      </w:tr>
      <w:tr w14:paraId="6C4390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535" w:type="dxa"/>
            <w:shd w:val="clear" w:color="auto" w:fill="FFFFFF"/>
            <w:vAlign w:val="center"/>
          </w:tcPr>
          <w:p w14:paraId="5D2546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行政强制</w:t>
            </w:r>
          </w:p>
        </w:tc>
        <w:tc>
          <w:tcPr>
            <w:tcW w:w="6915" w:type="dxa"/>
            <w:gridSpan w:val="3"/>
            <w:shd w:val="clear" w:color="auto" w:fill="FFFFFF"/>
            <w:vAlign w:val="center"/>
          </w:tcPr>
          <w:p w14:paraId="740E3F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r>
      <w:tr w14:paraId="079236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450" w:type="dxa"/>
            <w:gridSpan w:val="4"/>
            <w:shd w:val="clear" w:color="auto" w:fill="FFFFFF"/>
            <w:vAlign w:val="center"/>
          </w:tcPr>
          <w:p w14:paraId="459493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第二十条第（八）项</w:t>
            </w:r>
          </w:p>
        </w:tc>
      </w:tr>
      <w:tr w14:paraId="1BD1CA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535" w:type="dxa"/>
            <w:shd w:val="clear" w:color="auto" w:fill="FFFFFF"/>
            <w:vAlign w:val="center"/>
          </w:tcPr>
          <w:p w14:paraId="317DAE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信息内容</w:t>
            </w:r>
          </w:p>
        </w:tc>
        <w:tc>
          <w:tcPr>
            <w:tcW w:w="6915" w:type="dxa"/>
            <w:gridSpan w:val="3"/>
            <w:shd w:val="clear" w:color="auto" w:fill="FFFFFF"/>
            <w:vAlign w:val="center"/>
          </w:tcPr>
          <w:p w14:paraId="53907E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本年收费金额（单位：万元）</w:t>
            </w:r>
          </w:p>
        </w:tc>
      </w:tr>
      <w:tr w14:paraId="79605F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535" w:type="dxa"/>
            <w:shd w:val="clear" w:color="auto" w:fill="FFFFFF"/>
            <w:vAlign w:val="center"/>
          </w:tcPr>
          <w:p w14:paraId="6D3CDC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行政事业性收费</w:t>
            </w:r>
          </w:p>
        </w:tc>
        <w:tc>
          <w:tcPr>
            <w:tcW w:w="6915" w:type="dxa"/>
            <w:gridSpan w:val="3"/>
            <w:shd w:val="clear" w:color="auto" w:fill="FFFFFF"/>
            <w:vAlign w:val="center"/>
          </w:tcPr>
          <w:p w14:paraId="3E0089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Theme="minorEastAsia"/>
                <w:i w:val="0"/>
                <w:iCs w:val="0"/>
                <w:u w:val="none"/>
                <w:lang w:val="en-US" w:eastAsia="zh-CN"/>
              </w:rPr>
            </w:pPr>
            <w:r>
              <w:rPr>
                <w:rFonts w:hint="eastAsia"/>
                <w:i w:val="0"/>
                <w:iCs w:val="0"/>
                <w:u w:val="none"/>
                <w:lang w:val="en-US" w:eastAsia="zh-CN"/>
              </w:rPr>
              <w:t>1668</w:t>
            </w:r>
          </w:p>
        </w:tc>
      </w:tr>
    </w:tbl>
    <w:p w14:paraId="2E5C9F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Arial" w:hAnsi="Arial" w:cs="Arial"/>
          <w:i w:val="0"/>
          <w:iCs w:val="0"/>
          <w:caps w:val="0"/>
          <w:color w:val="333333"/>
          <w:spacing w:val="0"/>
          <w:sz w:val="24"/>
          <w:szCs w:val="24"/>
          <w:u w:val="none"/>
        </w:rPr>
      </w:pPr>
      <w:r>
        <w:rPr>
          <w:rFonts w:hint="eastAsia" w:ascii="黑体" w:hAnsi="宋体" w:eastAsia="黑体" w:cs="黑体"/>
          <w:i w:val="0"/>
          <w:iCs w:val="0"/>
          <w:caps w:val="0"/>
          <w:color w:val="333333"/>
          <w:spacing w:val="0"/>
          <w:sz w:val="32"/>
          <w:szCs w:val="32"/>
          <w:u w:val="none"/>
          <w:shd w:val="clear" w:fill="FFFFFF"/>
        </w:rPr>
        <w:t>三、收到和处理政府信息公开申请情况</w:t>
      </w:r>
    </w:p>
    <w:tbl>
      <w:tblPr>
        <w:tblStyle w:val="4"/>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89"/>
        <w:gridCol w:w="660"/>
        <w:gridCol w:w="1702"/>
        <w:gridCol w:w="423"/>
        <w:gridCol w:w="596"/>
        <w:gridCol w:w="931"/>
        <w:gridCol w:w="1081"/>
        <w:gridCol w:w="1126"/>
        <w:gridCol w:w="479"/>
        <w:gridCol w:w="449"/>
      </w:tblGrid>
      <w:tr w14:paraId="2222B7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889" w:type="pct"/>
            <w:gridSpan w:val="3"/>
            <w:vMerge w:val="restart"/>
            <w:shd w:val="clear" w:color="auto" w:fill="FFFFFF"/>
            <w:vAlign w:val="center"/>
          </w:tcPr>
          <w:p w14:paraId="2A149D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（本列数据的勾稽关系为：第一项加第二项之和，等于第三项加第四项之和）</w:t>
            </w:r>
          </w:p>
        </w:tc>
        <w:tc>
          <w:tcPr>
            <w:tcW w:w="3110" w:type="pct"/>
            <w:gridSpan w:val="7"/>
            <w:shd w:val="clear" w:color="auto" w:fill="FFFFFF"/>
            <w:vAlign w:val="center"/>
          </w:tcPr>
          <w:p w14:paraId="6A877D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申请人情况</w:t>
            </w:r>
          </w:p>
        </w:tc>
      </w:tr>
      <w:tr w14:paraId="43CFB1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889" w:type="pct"/>
            <w:gridSpan w:val="3"/>
            <w:vMerge w:val="continue"/>
            <w:shd w:val="clear" w:color="auto" w:fill="FFFFFF"/>
            <w:vAlign w:val="center"/>
          </w:tcPr>
          <w:p w14:paraId="3AEFB825">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263" w:type="pct"/>
            <w:vMerge w:val="restart"/>
            <w:shd w:val="clear" w:color="auto" w:fill="FFFFFF"/>
            <w:vAlign w:val="center"/>
          </w:tcPr>
          <w:p w14:paraId="26CFF5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自然人</w:t>
            </w:r>
          </w:p>
        </w:tc>
        <w:tc>
          <w:tcPr>
            <w:tcW w:w="2570" w:type="pct"/>
            <w:gridSpan w:val="5"/>
            <w:shd w:val="clear" w:color="auto" w:fill="FFFFFF"/>
            <w:vAlign w:val="center"/>
          </w:tcPr>
          <w:p w14:paraId="551037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法人或其他组织</w:t>
            </w:r>
          </w:p>
        </w:tc>
        <w:tc>
          <w:tcPr>
            <w:tcW w:w="276" w:type="pct"/>
            <w:vMerge w:val="restart"/>
            <w:shd w:val="clear" w:color="auto" w:fill="FFFFFF"/>
            <w:vAlign w:val="center"/>
          </w:tcPr>
          <w:p w14:paraId="133FEB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总计</w:t>
            </w:r>
          </w:p>
        </w:tc>
      </w:tr>
      <w:tr w14:paraId="6C2412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889" w:type="pct"/>
            <w:gridSpan w:val="3"/>
            <w:vMerge w:val="continue"/>
            <w:shd w:val="clear" w:color="auto" w:fill="FFFFFF"/>
            <w:vAlign w:val="center"/>
          </w:tcPr>
          <w:p w14:paraId="1C05D79B">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263" w:type="pct"/>
            <w:vMerge w:val="continue"/>
            <w:shd w:val="clear" w:color="auto" w:fill="FFFFFF"/>
            <w:vAlign w:val="center"/>
          </w:tcPr>
          <w:p w14:paraId="6951BB9D">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366" w:type="pct"/>
            <w:shd w:val="clear" w:color="auto" w:fill="FFFFFF"/>
            <w:vAlign w:val="center"/>
          </w:tcPr>
          <w:p w14:paraId="55A623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商业</w:t>
            </w:r>
          </w:p>
          <w:p w14:paraId="423B84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企业</w:t>
            </w:r>
          </w:p>
        </w:tc>
        <w:tc>
          <w:tcPr>
            <w:tcW w:w="567" w:type="pct"/>
            <w:shd w:val="clear" w:color="auto" w:fill="FFFFFF"/>
            <w:vAlign w:val="center"/>
          </w:tcPr>
          <w:p w14:paraId="239A7F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科研机构</w:t>
            </w:r>
          </w:p>
        </w:tc>
        <w:tc>
          <w:tcPr>
            <w:tcW w:w="657" w:type="pct"/>
            <w:shd w:val="clear" w:color="auto" w:fill="FFFFFF"/>
            <w:vAlign w:val="center"/>
          </w:tcPr>
          <w:p w14:paraId="2ED0EB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社会公益组织</w:t>
            </w:r>
          </w:p>
        </w:tc>
        <w:tc>
          <w:tcPr>
            <w:tcW w:w="684" w:type="pct"/>
            <w:shd w:val="clear" w:color="auto" w:fill="FFFFFF"/>
            <w:vAlign w:val="center"/>
          </w:tcPr>
          <w:p w14:paraId="5FFB75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法律服务机构</w:t>
            </w:r>
          </w:p>
        </w:tc>
        <w:tc>
          <w:tcPr>
            <w:tcW w:w="295" w:type="pct"/>
            <w:shd w:val="clear" w:color="auto" w:fill="FFFFFF"/>
            <w:vAlign w:val="center"/>
          </w:tcPr>
          <w:p w14:paraId="1807E9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其他</w:t>
            </w:r>
          </w:p>
        </w:tc>
        <w:tc>
          <w:tcPr>
            <w:tcW w:w="276" w:type="pct"/>
            <w:vMerge w:val="continue"/>
            <w:shd w:val="clear" w:color="auto" w:fill="FFFFFF"/>
            <w:vAlign w:val="center"/>
          </w:tcPr>
          <w:p w14:paraId="3BDCD652">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r>
      <w:tr w14:paraId="1DBDBB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889" w:type="pct"/>
            <w:gridSpan w:val="3"/>
            <w:shd w:val="clear" w:color="auto" w:fill="FFFFFF"/>
            <w:vAlign w:val="center"/>
          </w:tcPr>
          <w:p w14:paraId="04C6DC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一、本年新收政府信息公开申请数量</w:t>
            </w:r>
          </w:p>
        </w:tc>
        <w:tc>
          <w:tcPr>
            <w:tcW w:w="263" w:type="pct"/>
            <w:shd w:val="clear" w:color="auto" w:fill="FFFFFF"/>
            <w:vAlign w:val="center"/>
          </w:tcPr>
          <w:p w14:paraId="2F7E1A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i w:val="0"/>
                <w:iCs w:val="0"/>
                <w:u w:val="none"/>
                <w:lang w:val="en-US" w:eastAsia="zh-CN"/>
              </w:rPr>
            </w:pPr>
            <w:r>
              <w:rPr>
                <w:rFonts w:hint="eastAsia"/>
                <w:i w:val="0"/>
                <w:iCs w:val="0"/>
                <w:u w:val="none"/>
                <w:lang w:val="en-US" w:eastAsia="zh-CN"/>
              </w:rPr>
              <w:t>4</w:t>
            </w:r>
          </w:p>
        </w:tc>
        <w:tc>
          <w:tcPr>
            <w:tcW w:w="366" w:type="pct"/>
            <w:shd w:val="clear" w:color="auto" w:fill="FFFFFF"/>
            <w:vAlign w:val="center"/>
          </w:tcPr>
          <w:p w14:paraId="3F8FE8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567" w:type="pct"/>
            <w:shd w:val="clear" w:color="auto" w:fill="FFFFFF"/>
            <w:vAlign w:val="center"/>
          </w:tcPr>
          <w:p w14:paraId="652542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57" w:type="pct"/>
            <w:shd w:val="clear" w:color="auto" w:fill="FFFFFF"/>
            <w:vAlign w:val="center"/>
          </w:tcPr>
          <w:p w14:paraId="65B3CF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84" w:type="pct"/>
            <w:shd w:val="clear" w:color="auto" w:fill="FFFFFF"/>
            <w:vAlign w:val="center"/>
          </w:tcPr>
          <w:p w14:paraId="0F8A6D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i w:val="0"/>
                <w:iCs w:val="0"/>
                <w:u w:val="none"/>
                <w:lang w:val="en-US" w:eastAsia="zh-CN"/>
              </w:rPr>
            </w:pPr>
            <w:r>
              <w:rPr>
                <w:rFonts w:hint="eastAsia"/>
                <w:i w:val="0"/>
                <w:iCs w:val="0"/>
                <w:u w:val="none"/>
                <w:lang w:val="en-US" w:eastAsia="zh-CN"/>
              </w:rPr>
              <w:t>0</w:t>
            </w:r>
          </w:p>
        </w:tc>
        <w:tc>
          <w:tcPr>
            <w:tcW w:w="295" w:type="pct"/>
            <w:shd w:val="clear" w:color="auto" w:fill="FFFFFF"/>
            <w:vAlign w:val="center"/>
          </w:tcPr>
          <w:p w14:paraId="41F833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76" w:type="pct"/>
            <w:shd w:val="clear" w:color="auto" w:fill="FFFFFF"/>
            <w:vAlign w:val="center"/>
          </w:tcPr>
          <w:p w14:paraId="58AB77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i w:val="0"/>
                <w:iCs w:val="0"/>
                <w:u w:val="none"/>
                <w:lang w:val="en-US" w:eastAsia="zh-CN"/>
              </w:rPr>
            </w:pPr>
            <w:r>
              <w:rPr>
                <w:rFonts w:hint="eastAsia"/>
                <w:i w:val="0"/>
                <w:iCs w:val="0"/>
                <w:u w:val="none"/>
                <w:lang w:val="en-US" w:eastAsia="zh-CN"/>
              </w:rPr>
              <w:t>4</w:t>
            </w:r>
          </w:p>
        </w:tc>
      </w:tr>
      <w:tr w14:paraId="008FAB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889" w:type="pct"/>
            <w:gridSpan w:val="3"/>
            <w:shd w:val="clear" w:color="auto" w:fill="FFFFFF"/>
            <w:vAlign w:val="center"/>
          </w:tcPr>
          <w:p w14:paraId="21E523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二、上年结转政府信息公开申请数量</w:t>
            </w:r>
          </w:p>
        </w:tc>
        <w:tc>
          <w:tcPr>
            <w:tcW w:w="263" w:type="pct"/>
            <w:shd w:val="clear" w:color="auto" w:fill="FFFFFF"/>
            <w:vAlign w:val="center"/>
          </w:tcPr>
          <w:p w14:paraId="3101C0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366" w:type="pct"/>
            <w:shd w:val="clear" w:color="auto" w:fill="FFFFFF"/>
            <w:vAlign w:val="center"/>
          </w:tcPr>
          <w:p w14:paraId="2598DD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567" w:type="pct"/>
            <w:shd w:val="clear" w:color="auto" w:fill="FFFFFF"/>
            <w:vAlign w:val="center"/>
          </w:tcPr>
          <w:p w14:paraId="6E4D7B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57" w:type="pct"/>
            <w:shd w:val="clear" w:color="auto" w:fill="FFFFFF"/>
            <w:vAlign w:val="center"/>
          </w:tcPr>
          <w:p w14:paraId="18FB0D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84" w:type="pct"/>
            <w:shd w:val="clear" w:color="auto" w:fill="FFFFFF"/>
            <w:vAlign w:val="center"/>
          </w:tcPr>
          <w:p w14:paraId="4AFFE3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95" w:type="pct"/>
            <w:shd w:val="clear" w:color="auto" w:fill="FFFFFF"/>
            <w:vAlign w:val="center"/>
          </w:tcPr>
          <w:p w14:paraId="5596F5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76" w:type="pct"/>
            <w:shd w:val="clear" w:color="auto" w:fill="FFFFFF"/>
            <w:vAlign w:val="center"/>
          </w:tcPr>
          <w:p w14:paraId="673A05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r>
      <w:tr w14:paraId="30DC6B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2" w:type="pct"/>
            <w:vMerge w:val="restart"/>
            <w:shd w:val="clear" w:color="auto" w:fill="FFFFFF"/>
            <w:vAlign w:val="center"/>
          </w:tcPr>
          <w:p w14:paraId="482640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三、本年度办理结果</w:t>
            </w:r>
          </w:p>
        </w:tc>
        <w:tc>
          <w:tcPr>
            <w:tcW w:w="1344" w:type="pct"/>
            <w:gridSpan w:val="2"/>
            <w:shd w:val="clear" w:color="auto" w:fill="FFFFFF"/>
            <w:vAlign w:val="center"/>
          </w:tcPr>
          <w:p w14:paraId="212227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（一）予以公开</w:t>
            </w:r>
          </w:p>
        </w:tc>
        <w:tc>
          <w:tcPr>
            <w:tcW w:w="263" w:type="pct"/>
            <w:shd w:val="clear" w:color="auto" w:fill="FFFFFF"/>
            <w:vAlign w:val="center"/>
          </w:tcPr>
          <w:p w14:paraId="62D991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i w:val="0"/>
                <w:iCs w:val="0"/>
                <w:u w:val="none"/>
                <w:lang w:val="en-US" w:eastAsia="zh-CN"/>
              </w:rPr>
            </w:pPr>
            <w:r>
              <w:rPr>
                <w:rFonts w:hint="eastAsia"/>
                <w:i w:val="0"/>
                <w:iCs w:val="0"/>
                <w:u w:val="none"/>
                <w:lang w:val="en-US" w:eastAsia="zh-CN"/>
              </w:rPr>
              <w:t>1</w:t>
            </w:r>
          </w:p>
        </w:tc>
        <w:tc>
          <w:tcPr>
            <w:tcW w:w="366" w:type="pct"/>
            <w:shd w:val="clear" w:color="auto" w:fill="FFFFFF"/>
            <w:vAlign w:val="center"/>
          </w:tcPr>
          <w:p w14:paraId="2CA278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567" w:type="pct"/>
            <w:shd w:val="clear" w:color="auto" w:fill="FFFFFF"/>
            <w:vAlign w:val="center"/>
          </w:tcPr>
          <w:p w14:paraId="3DEDB9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57" w:type="pct"/>
            <w:shd w:val="clear" w:color="auto" w:fill="FFFFFF"/>
            <w:vAlign w:val="center"/>
          </w:tcPr>
          <w:p w14:paraId="758041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84" w:type="pct"/>
            <w:shd w:val="clear" w:color="auto" w:fill="FFFFFF"/>
            <w:vAlign w:val="center"/>
          </w:tcPr>
          <w:p w14:paraId="56E3B6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i w:val="0"/>
                <w:iCs w:val="0"/>
                <w:u w:val="none"/>
                <w:lang w:val="en-US" w:eastAsia="zh-CN"/>
              </w:rPr>
            </w:pPr>
            <w:r>
              <w:rPr>
                <w:rFonts w:hint="eastAsia"/>
                <w:i w:val="0"/>
                <w:iCs w:val="0"/>
                <w:u w:val="none"/>
                <w:lang w:val="en-US" w:eastAsia="zh-CN"/>
              </w:rPr>
              <w:t>0</w:t>
            </w:r>
          </w:p>
        </w:tc>
        <w:tc>
          <w:tcPr>
            <w:tcW w:w="295" w:type="pct"/>
            <w:shd w:val="clear" w:color="auto" w:fill="FFFFFF"/>
            <w:vAlign w:val="center"/>
          </w:tcPr>
          <w:p w14:paraId="094B40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76" w:type="pct"/>
            <w:shd w:val="clear" w:color="auto" w:fill="FFFFFF"/>
            <w:vAlign w:val="center"/>
          </w:tcPr>
          <w:p w14:paraId="3E5483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i w:val="0"/>
                <w:iCs w:val="0"/>
                <w:u w:val="none"/>
                <w:lang w:val="en-US" w:eastAsia="zh-CN"/>
              </w:rPr>
            </w:pPr>
            <w:r>
              <w:rPr>
                <w:rFonts w:hint="eastAsia"/>
                <w:i w:val="0"/>
                <w:iCs w:val="0"/>
                <w:u w:val="none"/>
                <w:lang w:val="en-US" w:eastAsia="zh-CN"/>
              </w:rPr>
              <w:t>1</w:t>
            </w:r>
          </w:p>
        </w:tc>
      </w:tr>
      <w:tr w14:paraId="48E023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2" w:type="pct"/>
            <w:vMerge w:val="continue"/>
            <w:shd w:val="clear" w:color="auto" w:fill="FFFFFF"/>
            <w:vAlign w:val="center"/>
          </w:tcPr>
          <w:p w14:paraId="6A9CF38D">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1344" w:type="pct"/>
            <w:gridSpan w:val="2"/>
            <w:shd w:val="clear" w:color="auto" w:fill="FFFFFF"/>
            <w:vAlign w:val="center"/>
          </w:tcPr>
          <w:p w14:paraId="7534AC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（二）部分公开（区分处理的，只计这一情形，不计其他情形）</w:t>
            </w:r>
          </w:p>
        </w:tc>
        <w:tc>
          <w:tcPr>
            <w:tcW w:w="263" w:type="pct"/>
            <w:shd w:val="clear" w:color="auto" w:fill="FFFFFF"/>
            <w:vAlign w:val="center"/>
          </w:tcPr>
          <w:p w14:paraId="36406B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i w:val="0"/>
                <w:iCs w:val="0"/>
                <w:u w:val="none"/>
                <w:lang w:val="en-US" w:eastAsia="zh-CN"/>
              </w:rPr>
            </w:pPr>
            <w:r>
              <w:rPr>
                <w:rFonts w:hint="eastAsia"/>
                <w:i w:val="0"/>
                <w:iCs w:val="0"/>
                <w:u w:val="none"/>
                <w:lang w:val="en-US" w:eastAsia="zh-CN"/>
              </w:rPr>
              <w:t>2</w:t>
            </w:r>
          </w:p>
        </w:tc>
        <w:tc>
          <w:tcPr>
            <w:tcW w:w="366" w:type="pct"/>
            <w:shd w:val="clear" w:color="auto" w:fill="FFFFFF"/>
            <w:vAlign w:val="center"/>
          </w:tcPr>
          <w:p w14:paraId="5DFFA1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567" w:type="pct"/>
            <w:shd w:val="clear" w:color="auto" w:fill="FFFFFF"/>
            <w:vAlign w:val="center"/>
          </w:tcPr>
          <w:p w14:paraId="7FC3A1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57" w:type="pct"/>
            <w:shd w:val="clear" w:color="auto" w:fill="FFFFFF"/>
            <w:vAlign w:val="center"/>
          </w:tcPr>
          <w:p w14:paraId="3BA883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84" w:type="pct"/>
            <w:shd w:val="clear" w:color="auto" w:fill="FFFFFF"/>
            <w:vAlign w:val="center"/>
          </w:tcPr>
          <w:p w14:paraId="5B2FF7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95" w:type="pct"/>
            <w:shd w:val="clear" w:color="auto" w:fill="FFFFFF"/>
            <w:vAlign w:val="center"/>
          </w:tcPr>
          <w:p w14:paraId="5CF4ED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76" w:type="pct"/>
            <w:shd w:val="clear" w:color="auto" w:fill="FFFFFF"/>
            <w:vAlign w:val="center"/>
          </w:tcPr>
          <w:p w14:paraId="2B99FC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i w:val="0"/>
                <w:iCs w:val="0"/>
                <w:u w:val="none"/>
                <w:lang w:val="en-US" w:eastAsia="zh-CN"/>
              </w:rPr>
            </w:pPr>
            <w:r>
              <w:rPr>
                <w:rFonts w:hint="eastAsia"/>
                <w:i w:val="0"/>
                <w:iCs w:val="0"/>
                <w:u w:val="none"/>
                <w:lang w:val="en-US" w:eastAsia="zh-CN"/>
              </w:rPr>
              <w:t>2</w:t>
            </w:r>
          </w:p>
        </w:tc>
      </w:tr>
      <w:tr w14:paraId="5083EA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2" w:type="pct"/>
            <w:vMerge w:val="continue"/>
            <w:shd w:val="clear" w:color="auto" w:fill="FFFFFF"/>
            <w:vAlign w:val="center"/>
          </w:tcPr>
          <w:p w14:paraId="31A785A9">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317" w:type="pct"/>
            <w:vMerge w:val="restart"/>
            <w:shd w:val="clear" w:color="auto" w:fill="FFFFFF"/>
            <w:vAlign w:val="center"/>
          </w:tcPr>
          <w:p w14:paraId="48F5EE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（三）不予公开</w:t>
            </w:r>
          </w:p>
        </w:tc>
        <w:tc>
          <w:tcPr>
            <w:tcW w:w="1027" w:type="pct"/>
            <w:shd w:val="clear" w:color="auto" w:fill="FFFFFF"/>
            <w:vAlign w:val="center"/>
          </w:tcPr>
          <w:p w14:paraId="7A6832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1.</w:t>
            </w:r>
            <w:r>
              <w:rPr>
                <w:rFonts w:hint="eastAsia" w:ascii="宋体" w:hAnsi="宋体" w:eastAsia="宋体" w:cs="宋体"/>
                <w:i w:val="0"/>
                <w:iCs w:val="0"/>
                <w:caps w:val="0"/>
                <w:color w:val="333333"/>
                <w:spacing w:val="0"/>
                <w:sz w:val="21"/>
                <w:szCs w:val="21"/>
                <w:u w:val="none"/>
              </w:rPr>
              <w:t>属于国家秘密</w:t>
            </w:r>
          </w:p>
        </w:tc>
        <w:tc>
          <w:tcPr>
            <w:tcW w:w="263" w:type="pct"/>
            <w:shd w:val="clear" w:color="auto" w:fill="FFFFFF"/>
            <w:vAlign w:val="center"/>
          </w:tcPr>
          <w:p w14:paraId="107364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366" w:type="pct"/>
            <w:shd w:val="clear" w:color="auto" w:fill="FFFFFF"/>
            <w:vAlign w:val="center"/>
          </w:tcPr>
          <w:p w14:paraId="0D7243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567" w:type="pct"/>
            <w:shd w:val="clear" w:color="auto" w:fill="FFFFFF"/>
            <w:vAlign w:val="center"/>
          </w:tcPr>
          <w:p w14:paraId="202AAC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57" w:type="pct"/>
            <w:shd w:val="clear" w:color="auto" w:fill="FFFFFF"/>
            <w:vAlign w:val="center"/>
          </w:tcPr>
          <w:p w14:paraId="2CFC52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84" w:type="pct"/>
            <w:shd w:val="clear" w:color="auto" w:fill="FFFFFF"/>
            <w:vAlign w:val="center"/>
          </w:tcPr>
          <w:p w14:paraId="34C4D0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95" w:type="pct"/>
            <w:shd w:val="clear" w:color="auto" w:fill="FFFFFF"/>
            <w:vAlign w:val="center"/>
          </w:tcPr>
          <w:p w14:paraId="62F935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76" w:type="pct"/>
            <w:shd w:val="clear" w:color="auto" w:fill="FFFFFF"/>
            <w:vAlign w:val="center"/>
          </w:tcPr>
          <w:p w14:paraId="553D7A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r>
      <w:tr w14:paraId="263316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2" w:type="pct"/>
            <w:vMerge w:val="continue"/>
            <w:shd w:val="clear" w:color="auto" w:fill="FFFFFF"/>
            <w:vAlign w:val="center"/>
          </w:tcPr>
          <w:p w14:paraId="08FC582D">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317" w:type="pct"/>
            <w:vMerge w:val="continue"/>
            <w:shd w:val="clear" w:color="auto" w:fill="FFFFFF"/>
            <w:vAlign w:val="center"/>
          </w:tcPr>
          <w:p w14:paraId="5BC44B85">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1027" w:type="pct"/>
            <w:shd w:val="clear" w:color="auto" w:fill="FFFFFF"/>
            <w:vAlign w:val="center"/>
          </w:tcPr>
          <w:p w14:paraId="0DD8F6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2.</w:t>
            </w:r>
            <w:r>
              <w:rPr>
                <w:rFonts w:hint="eastAsia" w:ascii="宋体" w:hAnsi="宋体" w:eastAsia="宋体" w:cs="宋体"/>
                <w:i w:val="0"/>
                <w:iCs w:val="0"/>
                <w:caps w:val="0"/>
                <w:color w:val="333333"/>
                <w:spacing w:val="0"/>
                <w:sz w:val="21"/>
                <w:szCs w:val="21"/>
                <w:u w:val="none"/>
              </w:rPr>
              <w:t>其他法律行政法规禁止公开</w:t>
            </w:r>
          </w:p>
        </w:tc>
        <w:tc>
          <w:tcPr>
            <w:tcW w:w="263" w:type="pct"/>
            <w:shd w:val="clear" w:color="auto" w:fill="FFFFFF"/>
            <w:vAlign w:val="center"/>
          </w:tcPr>
          <w:p w14:paraId="5FA535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366" w:type="pct"/>
            <w:shd w:val="clear" w:color="auto" w:fill="FFFFFF"/>
            <w:vAlign w:val="center"/>
          </w:tcPr>
          <w:p w14:paraId="585B2A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567" w:type="pct"/>
            <w:shd w:val="clear" w:color="auto" w:fill="FFFFFF"/>
            <w:vAlign w:val="center"/>
          </w:tcPr>
          <w:p w14:paraId="402E14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57" w:type="pct"/>
            <w:shd w:val="clear" w:color="auto" w:fill="FFFFFF"/>
            <w:vAlign w:val="center"/>
          </w:tcPr>
          <w:p w14:paraId="3CA4D2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84" w:type="pct"/>
            <w:shd w:val="clear" w:color="auto" w:fill="FFFFFF"/>
            <w:vAlign w:val="center"/>
          </w:tcPr>
          <w:p w14:paraId="297949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95" w:type="pct"/>
            <w:shd w:val="clear" w:color="auto" w:fill="FFFFFF"/>
            <w:vAlign w:val="center"/>
          </w:tcPr>
          <w:p w14:paraId="08A855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76" w:type="pct"/>
            <w:shd w:val="clear" w:color="auto" w:fill="FFFFFF"/>
            <w:vAlign w:val="center"/>
          </w:tcPr>
          <w:p w14:paraId="1C5D95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r>
      <w:tr w14:paraId="32CB49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2" w:type="pct"/>
            <w:vMerge w:val="continue"/>
            <w:shd w:val="clear" w:color="auto" w:fill="FFFFFF"/>
            <w:vAlign w:val="center"/>
          </w:tcPr>
          <w:p w14:paraId="63D270DE">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317" w:type="pct"/>
            <w:vMerge w:val="continue"/>
            <w:shd w:val="clear" w:color="auto" w:fill="FFFFFF"/>
            <w:vAlign w:val="center"/>
          </w:tcPr>
          <w:p w14:paraId="7FB54A92">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1027" w:type="pct"/>
            <w:shd w:val="clear" w:color="auto" w:fill="FFFFFF"/>
            <w:vAlign w:val="center"/>
          </w:tcPr>
          <w:p w14:paraId="58F295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3.</w:t>
            </w:r>
            <w:r>
              <w:rPr>
                <w:rFonts w:hint="eastAsia" w:ascii="宋体" w:hAnsi="宋体" w:eastAsia="宋体" w:cs="宋体"/>
                <w:i w:val="0"/>
                <w:iCs w:val="0"/>
                <w:caps w:val="0"/>
                <w:color w:val="333333"/>
                <w:spacing w:val="0"/>
                <w:sz w:val="21"/>
                <w:szCs w:val="21"/>
                <w:u w:val="none"/>
              </w:rPr>
              <w:t>危及“三安全一稳定”</w:t>
            </w:r>
          </w:p>
        </w:tc>
        <w:tc>
          <w:tcPr>
            <w:tcW w:w="263" w:type="pct"/>
            <w:shd w:val="clear" w:color="auto" w:fill="FFFFFF"/>
            <w:vAlign w:val="center"/>
          </w:tcPr>
          <w:p w14:paraId="764756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366" w:type="pct"/>
            <w:shd w:val="clear" w:color="auto" w:fill="FFFFFF"/>
            <w:vAlign w:val="center"/>
          </w:tcPr>
          <w:p w14:paraId="79CB18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567" w:type="pct"/>
            <w:shd w:val="clear" w:color="auto" w:fill="FFFFFF"/>
            <w:vAlign w:val="center"/>
          </w:tcPr>
          <w:p w14:paraId="3E72EF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57" w:type="pct"/>
            <w:shd w:val="clear" w:color="auto" w:fill="FFFFFF"/>
            <w:vAlign w:val="center"/>
          </w:tcPr>
          <w:p w14:paraId="061962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84" w:type="pct"/>
            <w:shd w:val="clear" w:color="auto" w:fill="FFFFFF"/>
            <w:vAlign w:val="center"/>
          </w:tcPr>
          <w:p w14:paraId="3A6825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95" w:type="pct"/>
            <w:shd w:val="clear" w:color="auto" w:fill="FFFFFF"/>
            <w:vAlign w:val="center"/>
          </w:tcPr>
          <w:p w14:paraId="41E5CE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76" w:type="pct"/>
            <w:shd w:val="clear" w:color="auto" w:fill="FFFFFF"/>
            <w:vAlign w:val="center"/>
          </w:tcPr>
          <w:p w14:paraId="57136B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r>
      <w:tr w14:paraId="7FBC3F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2" w:type="pct"/>
            <w:vMerge w:val="continue"/>
            <w:shd w:val="clear" w:color="auto" w:fill="FFFFFF"/>
            <w:vAlign w:val="center"/>
          </w:tcPr>
          <w:p w14:paraId="60F37DBB">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317" w:type="pct"/>
            <w:vMerge w:val="continue"/>
            <w:shd w:val="clear" w:color="auto" w:fill="FFFFFF"/>
            <w:vAlign w:val="center"/>
          </w:tcPr>
          <w:p w14:paraId="5BB07E91">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1027" w:type="pct"/>
            <w:shd w:val="clear" w:color="auto" w:fill="FFFFFF"/>
            <w:vAlign w:val="center"/>
          </w:tcPr>
          <w:p w14:paraId="4D5FFE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4.</w:t>
            </w:r>
            <w:r>
              <w:rPr>
                <w:rFonts w:hint="eastAsia" w:ascii="宋体" w:hAnsi="宋体" w:eastAsia="宋体" w:cs="宋体"/>
                <w:i w:val="0"/>
                <w:iCs w:val="0"/>
                <w:caps w:val="0"/>
                <w:color w:val="333333"/>
                <w:spacing w:val="0"/>
                <w:sz w:val="21"/>
                <w:szCs w:val="21"/>
                <w:u w:val="none"/>
              </w:rPr>
              <w:t>保护第三方合法权益</w:t>
            </w:r>
          </w:p>
        </w:tc>
        <w:tc>
          <w:tcPr>
            <w:tcW w:w="263" w:type="pct"/>
            <w:shd w:val="clear" w:color="auto" w:fill="FFFFFF"/>
            <w:vAlign w:val="center"/>
          </w:tcPr>
          <w:p w14:paraId="17BCCB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366" w:type="pct"/>
            <w:shd w:val="clear" w:color="auto" w:fill="FFFFFF"/>
            <w:vAlign w:val="center"/>
          </w:tcPr>
          <w:p w14:paraId="152D3D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567" w:type="pct"/>
            <w:shd w:val="clear" w:color="auto" w:fill="FFFFFF"/>
            <w:vAlign w:val="center"/>
          </w:tcPr>
          <w:p w14:paraId="42903E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57" w:type="pct"/>
            <w:shd w:val="clear" w:color="auto" w:fill="FFFFFF"/>
            <w:vAlign w:val="center"/>
          </w:tcPr>
          <w:p w14:paraId="5FB6DA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84" w:type="pct"/>
            <w:shd w:val="clear" w:color="auto" w:fill="FFFFFF"/>
            <w:vAlign w:val="center"/>
          </w:tcPr>
          <w:p w14:paraId="6F362A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95" w:type="pct"/>
            <w:shd w:val="clear" w:color="auto" w:fill="FFFFFF"/>
            <w:vAlign w:val="center"/>
          </w:tcPr>
          <w:p w14:paraId="63E93D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76" w:type="pct"/>
            <w:shd w:val="clear" w:color="auto" w:fill="FFFFFF"/>
            <w:vAlign w:val="center"/>
          </w:tcPr>
          <w:p w14:paraId="2BDC3F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r>
      <w:tr w14:paraId="580E32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2" w:type="pct"/>
            <w:vMerge w:val="continue"/>
            <w:shd w:val="clear" w:color="auto" w:fill="FFFFFF"/>
            <w:vAlign w:val="center"/>
          </w:tcPr>
          <w:p w14:paraId="2717AE55">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317" w:type="pct"/>
            <w:vMerge w:val="continue"/>
            <w:shd w:val="clear" w:color="auto" w:fill="FFFFFF"/>
            <w:vAlign w:val="center"/>
          </w:tcPr>
          <w:p w14:paraId="65CBFC18">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1027" w:type="pct"/>
            <w:shd w:val="clear" w:color="auto" w:fill="FFFFFF"/>
            <w:vAlign w:val="center"/>
          </w:tcPr>
          <w:p w14:paraId="65C4FE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5.</w:t>
            </w:r>
            <w:r>
              <w:rPr>
                <w:rFonts w:hint="eastAsia" w:ascii="宋体" w:hAnsi="宋体" w:eastAsia="宋体" w:cs="宋体"/>
                <w:i w:val="0"/>
                <w:iCs w:val="0"/>
                <w:caps w:val="0"/>
                <w:color w:val="333333"/>
                <w:spacing w:val="0"/>
                <w:sz w:val="21"/>
                <w:szCs w:val="21"/>
                <w:u w:val="none"/>
              </w:rPr>
              <w:t>属于三类内部事务信息</w:t>
            </w:r>
          </w:p>
        </w:tc>
        <w:tc>
          <w:tcPr>
            <w:tcW w:w="263" w:type="pct"/>
            <w:shd w:val="clear" w:color="auto" w:fill="FFFFFF"/>
            <w:vAlign w:val="center"/>
          </w:tcPr>
          <w:p w14:paraId="37DF09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366" w:type="pct"/>
            <w:shd w:val="clear" w:color="auto" w:fill="FFFFFF"/>
            <w:vAlign w:val="center"/>
          </w:tcPr>
          <w:p w14:paraId="798666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567" w:type="pct"/>
            <w:shd w:val="clear" w:color="auto" w:fill="FFFFFF"/>
            <w:vAlign w:val="center"/>
          </w:tcPr>
          <w:p w14:paraId="2A3BCA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57" w:type="pct"/>
            <w:shd w:val="clear" w:color="auto" w:fill="FFFFFF"/>
            <w:vAlign w:val="center"/>
          </w:tcPr>
          <w:p w14:paraId="5A1BC0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84" w:type="pct"/>
            <w:shd w:val="clear" w:color="auto" w:fill="FFFFFF"/>
            <w:vAlign w:val="center"/>
          </w:tcPr>
          <w:p w14:paraId="288FE9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95" w:type="pct"/>
            <w:shd w:val="clear" w:color="auto" w:fill="FFFFFF"/>
            <w:vAlign w:val="center"/>
          </w:tcPr>
          <w:p w14:paraId="2CA526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76" w:type="pct"/>
            <w:shd w:val="clear" w:color="auto" w:fill="FFFFFF"/>
            <w:vAlign w:val="center"/>
          </w:tcPr>
          <w:p w14:paraId="099D52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r>
      <w:tr w14:paraId="6C32F5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2" w:type="pct"/>
            <w:vMerge w:val="continue"/>
            <w:shd w:val="clear" w:color="auto" w:fill="FFFFFF"/>
            <w:vAlign w:val="center"/>
          </w:tcPr>
          <w:p w14:paraId="1B8AD402">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317" w:type="pct"/>
            <w:vMerge w:val="continue"/>
            <w:shd w:val="clear" w:color="auto" w:fill="FFFFFF"/>
            <w:vAlign w:val="center"/>
          </w:tcPr>
          <w:p w14:paraId="25A0709A">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1027" w:type="pct"/>
            <w:shd w:val="clear" w:color="auto" w:fill="FFFFFF"/>
            <w:vAlign w:val="center"/>
          </w:tcPr>
          <w:p w14:paraId="4BEBEE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6.</w:t>
            </w:r>
            <w:r>
              <w:rPr>
                <w:rFonts w:hint="eastAsia" w:ascii="宋体" w:hAnsi="宋体" w:eastAsia="宋体" w:cs="宋体"/>
                <w:i w:val="0"/>
                <w:iCs w:val="0"/>
                <w:caps w:val="0"/>
                <w:color w:val="333333"/>
                <w:spacing w:val="0"/>
                <w:sz w:val="21"/>
                <w:szCs w:val="21"/>
                <w:u w:val="none"/>
              </w:rPr>
              <w:t>属于四类过程性信息</w:t>
            </w:r>
          </w:p>
        </w:tc>
        <w:tc>
          <w:tcPr>
            <w:tcW w:w="263" w:type="pct"/>
            <w:shd w:val="clear" w:color="auto" w:fill="FFFFFF"/>
            <w:vAlign w:val="center"/>
          </w:tcPr>
          <w:p w14:paraId="13B7FD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366" w:type="pct"/>
            <w:shd w:val="clear" w:color="auto" w:fill="FFFFFF"/>
            <w:vAlign w:val="center"/>
          </w:tcPr>
          <w:p w14:paraId="2BDE7C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567" w:type="pct"/>
            <w:shd w:val="clear" w:color="auto" w:fill="FFFFFF"/>
            <w:vAlign w:val="center"/>
          </w:tcPr>
          <w:p w14:paraId="6377B0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57" w:type="pct"/>
            <w:shd w:val="clear" w:color="auto" w:fill="FFFFFF"/>
            <w:vAlign w:val="center"/>
          </w:tcPr>
          <w:p w14:paraId="5D52B5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84" w:type="pct"/>
            <w:shd w:val="clear" w:color="auto" w:fill="FFFFFF"/>
            <w:vAlign w:val="center"/>
          </w:tcPr>
          <w:p w14:paraId="505043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95" w:type="pct"/>
            <w:shd w:val="clear" w:color="auto" w:fill="FFFFFF"/>
            <w:vAlign w:val="center"/>
          </w:tcPr>
          <w:p w14:paraId="38B0BE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76" w:type="pct"/>
            <w:shd w:val="clear" w:color="auto" w:fill="FFFFFF"/>
            <w:vAlign w:val="center"/>
          </w:tcPr>
          <w:p w14:paraId="3DD01D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r>
      <w:tr w14:paraId="3D5E45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2" w:type="pct"/>
            <w:vMerge w:val="continue"/>
            <w:shd w:val="clear" w:color="auto" w:fill="FFFFFF"/>
            <w:vAlign w:val="center"/>
          </w:tcPr>
          <w:p w14:paraId="6A0E5349">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317" w:type="pct"/>
            <w:vMerge w:val="continue"/>
            <w:shd w:val="clear" w:color="auto" w:fill="FFFFFF"/>
            <w:vAlign w:val="center"/>
          </w:tcPr>
          <w:p w14:paraId="7652D948">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1027" w:type="pct"/>
            <w:shd w:val="clear" w:color="auto" w:fill="FFFFFF"/>
            <w:vAlign w:val="center"/>
          </w:tcPr>
          <w:p w14:paraId="38477A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7.</w:t>
            </w:r>
            <w:r>
              <w:rPr>
                <w:rFonts w:hint="eastAsia" w:ascii="宋体" w:hAnsi="宋体" w:eastAsia="宋体" w:cs="宋体"/>
                <w:i w:val="0"/>
                <w:iCs w:val="0"/>
                <w:caps w:val="0"/>
                <w:color w:val="333333"/>
                <w:spacing w:val="0"/>
                <w:sz w:val="21"/>
                <w:szCs w:val="21"/>
                <w:u w:val="none"/>
              </w:rPr>
              <w:t>属于行政执法案卷</w:t>
            </w:r>
          </w:p>
        </w:tc>
        <w:tc>
          <w:tcPr>
            <w:tcW w:w="263" w:type="pct"/>
            <w:shd w:val="clear" w:color="auto" w:fill="FFFFFF"/>
            <w:vAlign w:val="center"/>
          </w:tcPr>
          <w:p w14:paraId="54938A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366" w:type="pct"/>
            <w:shd w:val="clear" w:color="auto" w:fill="FFFFFF"/>
            <w:vAlign w:val="center"/>
          </w:tcPr>
          <w:p w14:paraId="0DF624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567" w:type="pct"/>
            <w:shd w:val="clear" w:color="auto" w:fill="FFFFFF"/>
            <w:vAlign w:val="center"/>
          </w:tcPr>
          <w:p w14:paraId="514563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57" w:type="pct"/>
            <w:shd w:val="clear" w:color="auto" w:fill="FFFFFF"/>
            <w:vAlign w:val="center"/>
          </w:tcPr>
          <w:p w14:paraId="16C59D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84" w:type="pct"/>
            <w:shd w:val="clear" w:color="auto" w:fill="FFFFFF"/>
            <w:vAlign w:val="center"/>
          </w:tcPr>
          <w:p w14:paraId="57B749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95" w:type="pct"/>
            <w:shd w:val="clear" w:color="auto" w:fill="FFFFFF"/>
            <w:vAlign w:val="center"/>
          </w:tcPr>
          <w:p w14:paraId="1E6CA1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76" w:type="pct"/>
            <w:shd w:val="clear" w:color="auto" w:fill="FFFFFF"/>
            <w:vAlign w:val="center"/>
          </w:tcPr>
          <w:p w14:paraId="2A2FE0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r>
      <w:tr w14:paraId="2092F3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2" w:type="pct"/>
            <w:vMerge w:val="continue"/>
            <w:shd w:val="clear" w:color="auto" w:fill="FFFFFF"/>
            <w:vAlign w:val="center"/>
          </w:tcPr>
          <w:p w14:paraId="680E0D14">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317" w:type="pct"/>
            <w:vMerge w:val="continue"/>
            <w:shd w:val="clear" w:color="auto" w:fill="FFFFFF"/>
            <w:vAlign w:val="center"/>
          </w:tcPr>
          <w:p w14:paraId="5AFE2D14">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1027" w:type="pct"/>
            <w:shd w:val="clear" w:color="auto" w:fill="FFFFFF"/>
            <w:vAlign w:val="center"/>
          </w:tcPr>
          <w:p w14:paraId="01A533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8.</w:t>
            </w:r>
            <w:r>
              <w:rPr>
                <w:rFonts w:hint="eastAsia" w:ascii="宋体" w:hAnsi="宋体" w:eastAsia="宋体" w:cs="宋体"/>
                <w:i w:val="0"/>
                <w:iCs w:val="0"/>
                <w:caps w:val="0"/>
                <w:color w:val="333333"/>
                <w:spacing w:val="0"/>
                <w:sz w:val="21"/>
                <w:szCs w:val="21"/>
                <w:u w:val="none"/>
              </w:rPr>
              <w:t>属于行政查询事项</w:t>
            </w:r>
          </w:p>
        </w:tc>
        <w:tc>
          <w:tcPr>
            <w:tcW w:w="263" w:type="pct"/>
            <w:shd w:val="clear" w:color="auto" w:fill="FFFFFF"/>
            <w:vAlign w:val="center"/>
          </w:tcPr>
          <w:p w14:paraId="6DF88E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366" w:type="pct"/>
            <w:shd w:val="clear" w:color="auto" w:fill="FFFFFF"/>
            <w:vAlign w:val="center"/>
          </w:tcPr>
          <w:p w14:paraId="0D5B5E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567" w:type="pct"/>
            <w:shd w:val="clear" w:color="auto" w:fill="FFFFFF"/>
            <w:vAlign w:val="center"/>
          </w:tcPr>
          <w:p w14:paraId="7E8730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57" w:type="pct"/>
            <w:shd w:val="clear" w:color="auto" w:fill="FFFFFF"/>
            <w:vAlign w:val="center"/>
          </w:tcPr>
          <w:p w14:paraId="006E0C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84" w:type="pct"/>
            <w:shd w:val="clear" w:color="auto" w:fill="FFFFFF"/>
            <w:vAlign w:val="center"/>
          </w:tcPr>
          <w:p w14:paraId="255862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95" w:type="pct"/>
            <w:shd w:val="clear" w:color="auto" w:fill="FFFFFF"/>
            <w:vAlign w:val="center"/>
          </w:tcPr>
          <w:p w14:paraId="27C19B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76" w:type="pct"/>
            <w:shd w:val="clear" w:color="auto" w:fill="FFFFFF"/>
            <w:vAlign w:val="center"/>
          </w:tcPr>
          <w:p w14:paraId="1F6CDF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r>
      <w:tr w14:paraId="46192C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2" w:type="pct"/>
            <w:vMerge w:val="continue"/>
            <w:shd w:val="clear" w:color="auto" w:fill="FFFFFF"/>
            <w:vAlign w:val="center"/>
          </w:tcPr>
          <w:p w14:paraId="575F9712">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317" w:type="pct"/>
            <w:vMerge w:val="restart"/>
            <w:shd w:val="clear" w:color="auto" w:fill="FFFFFF"/>
            <w:vAlign w:val="center"/>
          </w:tcPr>
          <w:p w14:paraId="41059D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（四）无法提供</w:t>
            </w:r>
          </w:p>
        </w:tc>
        <w:tc>
          <w:tcPr>
            <w:tcW w:w="1027" w:type="pct"/>
            <w:shd w:val="clear" w:color="auto" w:fill="FFFFFF"/>
            <w:vAlign w:val="center"/>
          </w:tcPr>
          <w:p w14:paraId="1AE299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1.</w:t>
            </w:r>
            <w:r>
              <w:rPr>
                <w:rFonts w:hint="eastAsia" w:ascii="宋体" w:hAnsi="宋体" w:eastAsia="宋体" w:cs="宋体"/>
                <w:i w:val="0"/>
                <w:iCs w:val="0"/>
                <w:caps w:val="0"/>
                <w:color w:val="333333"/>
                <w:spacing w:val="0"/>
                <w:sz w:val="21"/>
                <w:szCs w:val="21"/>
                <w:u w:val="none"/>
              </w:rPr>
              <w:t>本机关不掌握相关政府信息</w:t>
            </w:r>
          </w:p>
        </w:tc>
        <w:tc>
          <w:tcPr>
            <w:tcW w:w="263" w:type="pct"/>
            <w:shd w:val="clear" w:color="auto" w:fill="FFFFFF"/>
            <w:vAlign w:val="center"/>
          </w:tcPr>
          <w:p w14:paraId="12D890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1</w:t>
            </w:r>
          </w:p>
        </w:tc>
        <w:tc>
          <w:tcPr>
            <w:tcW w:w="366" w:type="pct"/>
            <w:shd w:val="clear" w:color="auto" w:fill="FFFFFF"/>
            <w:vAlign w:val="center"/>
          </w:tcPr>
          <w:p w14:paraId="404673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567" w:type="pct"/>
            <w:shd w:val="clear" w:color="auto" w:fill="FFFFFF"/>
            <w:vAlign w:val="center"/>
          </w:tcPr>
          <w:p w14:paraId="47AB49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57" w:type="pct"/>
            <w:shd w:val="clear" w:color="auto" w:fill="FFFFFF"/>
            <w:vAlign w:val="center"/>
          </w:tcPr>
          <w:p w14:paraId="7667C6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84" w:type="pct"/>
            <w:shd w:val="clear" w:color="auto" w:fill="FFFFFF"/>
            <w:vAlign w:val="center"/>
          </w:tcPr>
          <w:p w14:paraId="1E7B4F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95" w:type="pct"/>
            <w:shd w:val="clear" w:color="auto" w:fill="FFFFFF"/>
            <w:vAlign w:val="center"/>
          </w:tcPr>
          <w:p w14:paraId="62685C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76" w:type="pct"/>
            <w:shd w:val="clear" w:color="auto" w:fill="FFFFFF"/>
            <w:vAlign w:val="center"/>
          </w:tcPr>
          <w:p w14:paraId="56601F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1</w:t>
            </w:r>
          </w:p>
        </w:tc>
      </w:tr>
      <w:tr w14:paraId="6B3318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2" w:type="pct"/>
            <w:vMerge w:val="continue"/>
            <w:shd w:val="clear" w:color="auto" w:fill="FFFFFF"/>
            <w:vAlign w:val="center"/>
          </w:tcPr>
          <w:p w14:paraId="76775C9B">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317" w:type="pct"/>
            <w:vMerge w:val="continue"/>
            <w:shd w:val="clear" w:color="auto" w:fill="FFFFFF"/>
            <w:vAlign w:val="center"/>
          </w:tcPr>
          <w:p w14:paraId="105DF7DF">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1027" w:type="pct"/>
            <w:shd w:val="clear" w:color="auto" w:fill="FFFFFF"/>
            <w:vAlign w:val="center"/>
          </w:tcPr>
          <w:p w14:paraId="30746D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2.</w:t>
            </w:r>
            <w:r>
              <w:rPr>
                <w:rFonts w:hint="eastAsia" w:ascii="宋体" w:hAnsi="宋体" w:eastAsia="宋体" w:cs="宋体"/>
                <w:i w:val="0"/>
                <w:iCs w:val="0"/>
                <w:caps w:val="0"/>
                <w:color w:val="333333"/>
                <w:spacing w:val="0"/>
                <w:sz w:val="21"/>
                <w:szCs w:val="21"/>
                <w:u w:val="none"/>
              </w:rPr>
              <w:t>没有现成信息需要另行制作</w:t>
            </w:r>
          </w:p>
        </w:tc>
        <w:tc>
          <w:tcPr>
            <w:tcW w:w="263" w:type="pct"/>
            <w:shd w:val="clear" w:color="auto" w:fill="FFFFFF"/>
            <w:vAlign w:val="center"/>
          </w:tcPr>
          <w:p w14:paraId="3EABCD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366" w:type="pct"/>
            <w:shd w:val="clear" w:color="auto" w:fill="FFFFFF"/>
            <w:vAlign w:val="center"/>
          </w:tcPr>
          <w:p w14:paraId="767EE1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567" w:type="pct"/>
            <w:shd w:val="clear" w:color="auto" w:fill="FFFFFF"/>
            <w:vAlign w:val="center"/>
          </w:tcPr>
          <w:p w14:paraId="28F598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57" w:type="pct"/>
            <w:shd w:val="clear" w:color="auto" w:fill="FFFFFF"/>
            <w:vAlign w:val="center"/>
          </w:tcPr>
          <w:p w14:paraId="378503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84" w:type="pct"/>
            <w:shd w:val="clear" w:color="auto" w:fill="FFFFFF"/>
            <w:vAlign w:val="center"/>
          </w:tcPr>
          <w:p w14:paraId="762EFA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95" w:type="pct"/>
            <w:shd w:val="clear" w:color="auto" w:fill="FFFFFF"/>
            <w:vAlign w:val="center"/>
          </w:tcPr>
          <w:p w14:paraId="35BCFC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76" w:type="pct"/>
            <w:shd w:val="clear" w:color="auto" w:fill="FFFFFF"/>
            <w:vAlign w:val="center"/>
          </w:tcPr>
          <w:p w14:paraId="3ED347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r>
      <w:tr w14:paraId="760728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2" w:type="pct"/>
            <w:vMerge w:val="continue"/>
            <w:shd w:val="clear" w:color="auto" w:fill="FFFFFF"/>
            <w:vAlign w:val="center"/>
          </w:tcPr>
          <w:p w14:paraId="368BB059">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317" w:type="pct"/>
            <w:vMerge w:val="continue"/>
            <w:shd w:val="clear" w:color="auto" w:fill="FFFFFF"/>
            <w:vAlign w:val="center"/>
          </w:tcPr>
          <w:p w14:paraId="5AF1F9D5">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1027" w:type="pct"/>
            <w:shd w:val="clear" w:color="auto" w:fill="FFFFFF"/>
            <w:vAlign w:val="center"/>
          </w:tcPr>
          <w:p w14:paraId="4E95FE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3.</w:t>
            </w:r>
            <w:r>
              <w:rPr>
                <w:rFonts w:hint="eastAsia" w:ascii="宋体" w:hAnsi="宋体" w:eastAsia="宋体" w:cs="宋体"/>
                <w:i w:val="0"/>
                <w:iCs w:val="0"/>
                <w:caps w:val="0"/>
                <w:color w:val="333333"/>
                <w:spacing w:val="0"/>
                <w:sz w:val="21"/>
                <w:szCs w:val="21"/>
                <w:u w:val="none"/>
              </w:rPr>
              <w:t>补正后申请内容仍不明确</w:t>
            </w:r>
          </w:p>
        </w:tc>
        <w:tc>
          <w:tcPr>
            <w:tcW w:w="263" w:type="pct"/>
            <w:shd w:val="clear" w:color="auto" w:fill="FFFFFF"/>
            <w:vAlign w:val="center"/>
          </w:tcPr>
          <w:p w14:paraId="7B77B9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366" w:type="pct"/>
            <w:shd w:val="clear" w:color="auto" w:fill="FFFFFF"/>
            <w:vAlign w:val="center"/>
          </w:tcPr>
          <w:p w14:paraId="776071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567" w:type="pct"/>
            <w:shd w:val="clear" w:color="auto" w:fill="FFFFFF"/>
            <w:vAlign w:val="center"/>
          </w:tcPr>
          <w:p w14:paraId="3AA447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57" w:type="pct"/>
            <w:shd w:val="clear" w:color="auto" w:fill="FFFFFF"/>
            <w:vAlign w:val="center"/>
          </w:tcPr>
          <w:p w14:paraId="7D30C6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84" w:type="pct"/>
            <w:shd w:val="clear" w:color="auto" w:fill="FFFFFF"/>
            <w:vAlign w:val="center"/>
          </w:tcPr>
          <w:p w14:paraId="3046FA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95" w:type="pct"/>
            <w:shd w:val="clear" w:color="auto" w:fill="FFFFFF"/>
            <w:vAlign w:val="center"/>
          </w:tcPr>
          <w:p w14:paraId="34CE59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76" w:type="pct"/>
            <w:shd w:val="clear" w:color="auto" w:fill="FFFFFF"/>
            <w:vAlign w:val="center"/>
          </w:tcPr>
          <w:p w14:paraId="293BA6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r>
      <w:tr w14:paraId="574BE9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2" w:type="pct"/>
            <w:vMerge w:val="continue"/>
            <w:shd w:val="clear" w:color="auto" w:fill="FFFFFF"/>
            <w:vAlign w:val="center"/>
          </w:tcPr>
          <w:p w14:paraId="28FD4A51">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317" w:type="pct"/>
            <w:vMerge w:val="restart"/>
            <w:shd w:val="clear" w:color="auto" w:fill="FFFFFF"/>
            <w:vAlign w:val="center"/>
          </w:tcPr>
          <w:p w14:paraId="68DCDA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（五）不予处理</w:t>
            </w:r>
          </w:p>
        </w:tc>
        <w:tc>
          <w:tcPr>
            <w:tcW w:w="1027" w:type="pct"/>
            <w:shd w:val="clear" w:color="auto" w:fill="FFFFFF"/>
            <w:vAlign w:val="center"/>
          </w:tcPr>
          <w:p w14:paraId="544928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1.</w:t>
            </w:r>
            <w:r>
              <w:rPr>
                <w:rFonts w:hint="eastAsia" w:ascii="宋体" w:hAnsi="宋体" w:eastAsia="宋体" w:cs="宋体"/>
                <w:i w:val="0"/>
                <w:iCs w:val="0"/>
                <w:caps w:val="0"/>
                <w:color w:val="333333"/>
                <w:spacing w:val="0"/>
                <w:sz w:val="21"/>
                <w:szCs w:val="21"/>
                <w:u w:val="none"/>
              </w:rPr>
              <w:t>信访举报投诉类申请</w:t>
            </w:r>
          </w:p>
        </w:tc>
        <w:tc>
          <w:tcPr>
            <w:tcW w:w="263" w:type="pct"/>
            <w:shd w:val="clear" w:color="auto" w:fill="FFFFFF"/>
            <w:vAlign w:val="center"/>
          </w:tcPr>
          <w:p w14:paraId="49FD2C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366" w:type="pct"/>
            <w:shd w:val="clear" w:color="auto" w:fill="FFFFFF"/>
            <w:vAlign w:val="center"/>
          </w:tcPr>
          <w:p w14:paraId="115457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567" w:type="pct"/>
            <w:shd w:val="clear" w:color="auto" w:fill="FFFFFF"/>
            <w:vAlign w:val="center"/>
          </w:tcPr>
          <w:p w14:paraId="56E7AD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57" w:type="pct"/>
            <w:shd w:val="clear" w:color="auto" w:fill="FFFFFF"/>
            <w:vAlign w:val="center"/>
          </w:tcPr>
          <w:p w14:paraId="31140D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84" w:type="pct"/>
            <w:shd w:val="clear" w:color="auto" w:fill="FFFFFF"/>
            <w:vAlign w:val="center"/>
          </w:tcPr>
          <w:p w14:paraId="350187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95" w:type="pct"/>
            <w:shd w:val="clear" w:color="auto" w:fill="FFFFFF"/>
            <w:vAlign w:val="center"/>
          </w:tcPr>
          <w:p w14:paraId="195560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76" w:type="pct"/>
            <w:shd w:val="clear" w:color="auto" w:fill="FFFFFF"/>
            <w:vAlign w:val="center"/>
          </w:tcPr>
          <w:p w14:paraId="49A8DA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r>
      <w:tr w14:paraId="361C6F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2" w:type="pct"/>
            <w:vMerge w:val="continue"/>
            <w:shd w:val="clear" w:color="auto" w:fill="FFFFFF"/>
            <w:vAlign w:val="center"/>
          </w:tcPr>
          <w:p w14:paraId="7EFB1FB4">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317" w:type="pct"/>
            <w:vMerge w:val="continue"/>
            <w:shd w:val="clear" w:color="auto" w:fill="FFFFFF"/>
            <w:vAlign w:val="center"/>
          </w:tcPr>
          <w:p w14:paraId="0D7525F3">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1027" w:type="pct"/>
            <w:shd w:val="clear" w:color="auto" w:fill="FFFFFF"/>
            <w:vAlign w:val="center"/>
          </w:tcPr>
          <w:p w14:paraId="2619B0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2.</w:t>
            </w:r>
            <w:r>
              <w:rPr>
                <w:rFonts w:hint="eastAsia" w:ascii="宋体" w:hAnsi="宋体" w:eastAsia="宋体" w:cs="宋体"/>
                <w:i w:val="0"/>
                <w:iCs w:val="0"/>
                <w:caps w:val="0"/>
                <w:color w:val="333333"/>
                <w:spacing w:val="0"/>
                <w:sz w:val="21"/>
                <w:szCs w:val="21"/>
                <w:u w:val="none"/>
              </w:rPr>
              <w:t>重复申请</w:t>
            </w:r>
          </w:p>
        </w:tc>
        <w:tc>
          <w:tcPr>
            <w:tcW w:w="263" w:type="pct"/>
            <w:shd w:val="clear" w:color="auto" w:fill="FFFFFF"/>
            <w:vAlign w:val="center"/>
          </w:tcPr>
          <w:p w14:paraId="3174D4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366" w:type="pct"/>
            <w:shd w:val="clear" w:color="auto" w:fill="FFFFFF"/>
            <w:vAlign w:val="center"/>
          </w:tcPr>
          <w:p w14:paraId="037A43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567" w:type="pct"/>
            <w:shd w:val="clear" w:color="auto" w:fill="FFFFFF"/>
            <w:vAlign w:val="center"/>
          </w:tcPr>
          <w:p w14:paraId="551DA9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57" w:type="pct"/>
            <w:shd w:val="clear" w:color="auto" w:fill="FFFFFF"/>
            <w:vAlign w:val="center"/>
          </w:tcPr>
          <w:p w14:paraId="38FD0C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84" w:type="pct"/>
            <w:shd w:val="clear" w:color="auto" w:fill="FFFFFF"/>
            <w:vAlign w:val="center"/>
          </w:tcPr>
          <w:p w14:paraId="60D91F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95" w:type="pct"/>
            <w:shd w:val="clear" w:color="auto" w:fill="FFFFFF"/>
            <w:vAlign w:val="center"/>
          </w:tcPr>
          <w:p w14:paraId="66F11E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76" w:type="pct"/>
            <w:shd w:val="clear" w:color="auto" w:fill="FFFFFF"/>
            <w:vAlign w:val="center"/>
          </w:tcPr>
          <w:p w14:paraId="1627B4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r>
      <w:tr w14:paraId="7B778D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2" w:type="pct"/>
            <w:vMerge w:val="continue"/>
            <w:shd w:val="clear" w:color="auto" w:fill="FFFFFF"/>
            <w:vAlign w:val="center"/>
          </w:tcPr>
          <w:p w14:paraId="5A9CD5AE">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317" w:type="pct"/>
            <w:vMerge w:val="continue"/>
            <w:shd w:val="clear" w:color="auto" w:fill="FFFFFF"/>
            <w:vAlign w:val="center"/>
          </w:tcPr>
          <w:p w14:paraId="320FBD9B">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1027" w:type="pct"/>
            <w:shd w:val="clear" w:color="auto" w:fill="FFFFFF"/>
            <w:vAlign w:val="center"/>
          </w:tcPr>
          <w:p w14:paraId="29B5BF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3.</w:t>
            </w:r>
            <w:r>
              <w:rPr>
                <w:rFonts w:hint="eastAsia" w:ascii="宋体" w:hAnsi="宋体" w:eastAsia="宋体" w:cs="宋体"/>
                <w:i w:val="0"/>
                <w:iCs w:val="0"/>
                <w:caps w:val="0"/>
                <w:color w:val="333333"/>
                <w:spacing w:val="0"/>
                <w:sz w:val="21"/>
                <w:szCs w:val="21"/>
                <w:u w:val="none"/>
              </w:rPr>
              <w:t>要求提供公开出版物</w:t>
            </w:r>
          </w:p>
        </w:tc>
        <w:tc>
          <w:tcPr>
            <w:tcW w:w="263" w:type="pct"/>
            <w:shd w:val="clear" w:color="auto" w:fill="FFFFFF"/>
            <w:vAlign w:val="center"/>
          </w:tcPr>
          <w:p w14:paraId="5BA5DD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366" w:type="pct"/>
            <w:shd w:val="clear" w:color="auto" w:fill="FFFFFF"/>
            <w:vAlign w:val="center"/>
          </w:tcPr>
          <w:p w14:paraId="2F125A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567" w:type="pct"/>
            <w:shd w:val="clear" w:color="auto" w:fill="FFFFFF"/>
            <w:vAlign w:val="center"/>
          </w:tcPr>
          <w:p w14:paraId="187873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57" w:type="pct"/>
            <w:shd w:val="clear" w:color="auto" w:fill="FFFFFF"/>
            <w:vAlign w:val="center"/>
          </w:tcPr>
          <w:p w14:paraId="728907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84" w:type="pct"/>
            <w:shd w:val="clear" w:color="auto" w:fill="FFFFFF"/>
            <w:vAlign w:val="center"/>
          </w:tcPr>
          <w:p w14:paraId="198DD1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95" w:type="pct"/>
            <w:shd w:val="clear" w:color="auto" w:fill="FFFFFF"/>
            <w:vAlign w:val="center"/>
          </w:tcPr>
          <w:p w14:paraId="39123C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76" w:type="pct"/>
            <w:shd w:val="clear" w:color="auto" w:fill="FFFFFF"/>
            <w:vAlign w:val="center"/>
          </w:tcPr>
          <w:p w14:paraId="768456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r>
      <w:tr w14:paraId="66EE86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2" w:type="pct"/>
            <w:vMerge w:val="continue"/>
            <w:shd w:val="clear" w:color="auto" w:fill="FFFFFF"/>
            <w:vAlign w:val="center"/>
          </w:tcPr>
          <w:p w14:paraId="3A0F0865">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317" w:type="pct"/>
            <w:vMerge w:val="continue"/>
            <w:shd w:val="clear" w:color="auto" w:fill="FFFFFF"/>
            <w:vAlign w:val="center"/>
          </w:tcPr>
          <w:p w14:paraId="1C68A853">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1027" w:type="pct"/>
            <w:shd w:val="clear" w:color="auto" w:fill="FFFFFF"/>
            <w:vAlign w:val="center"/>
          </w:tcPr>
          <w:p w14:paraId="5610D5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4.</w:t>
            </w:r>
            <w:r>
              <w:rPr>
                <w:rFonts w:hint="eastAsia" w:ascii="宋体" w:hAnsi="宋体" w:eastAsia="宋体" w:cs="宋体"/>
                <w:i w:val="0"/>
                <w:iCs w:val="0"/>
                <w:caps w:val="0"/>
                <w:color w:val="333333"/>
                <w:spacing w:val="0"/>
                <w:sz w:val="21"/>
                <w:szCs w:val="21"/>
                <w:u w:val="none"/>
              </w:rPr>
              <w:t>无正当理由大量反复申请</w:t>
            </w:r>
          </w:p>
        </w:tc>
        <w:tc>
          <w:tcPr>
            <w:tcW w:w="263" w:type="pct"/>
            <w:shd w:val="clear" w:color="auto" w:fill="FFFFFF"/>
            <w:vAlign w:val="center"/>
          </w:tcPr>
          <w:p w14:paraId="44E8CE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366" w:type="pct"/>
            <w:shd w:val="clear" w:color="auto" w:fill="FFFFFF"/>
            <w:vAlign w:val="center"/>
          </w:tcPr>
          <w:p w14:paraId="55AE2E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567" w:type="pct"/>
            <w:shd w:val="clear" w:color="auto" w:fill="FFFFFF"/>
            <w:vAlign w:val="center"/>
          </w:tcPr>
          <w:p w14:paraId="7A9983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57" w:type="pct"/>
            <w:shd w:val="clear" w:color="auto" w:fill="FFFFFF"/>
            <w:vAlign w:val="center"/>
          </w:tcPr>
          <w:p w14:paraId="71234B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84" w:type="pct"/>
            <w:shd w:val="clear" w:color="auto" w:fill="FFFFFF"/>
            <w:vAlign w:val="center"/>
          </w:tcPr>
          <w:p w14:paraId="2B9521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95" w:type="pct"/>
            <w:shd w:val="clear" w:color="auto" w:fill="FFFFFF"/>
            <w:vAlign w:val="center"/>
          </w:tcPr>
          <w:p w14:paraId="13A5E3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76" w:type="pct"/>
            <w:shd w:val="clear" w:color="auto" w:fill="FFFFFF"/>
            <w:vAlign w:val="center"/>
          </w:tcPr>
          <w:p w14:paraId="13D637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r>
      <w:tr w14:paraId="349DDB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2" w:type="pct"/>
            <w:vMerge w:val="continue"/>
            <w:shd w:val="clear" w:color="auto" w:fill="FFFFFF"/>
            <w:vAlign w:val="center"/>
          </w:tcPr>
          <w:p w14:paraId="74E5284D">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317" w:type="pct"/>
            <w:vMerge w:val="continue"/>
            <w:shd w:val="clear" w:color="auto" w:fill="FFFFFF"/>
            <w:vAlign w:val="center"/>
          </w:tcPr>
          <w:p w14:paraId="49D9C612">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1027" w:type="pct"/>
            <w:shd w:val="clear" w:color="auto" w:fill="FFFFFF"/>
            <w:vAlign w:val="center"/>
          </w:tcPr>
          <w:p w14:paraId="53E988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5.</w:t>
            </w:r>
            <w:r>
              <w:rPr>
                <w:rFonts w:hint="eastAsia" w:ascii="宋体" w:hAnsi="宋体" w:eastAsia="宋体" w:cs="宋体"/>
                <w:i w:val="0"/>
                <w:iCs w:val="0"/>
                <w:caps w:val="0"/>
                <w:color w:val="333333"/>
                <w:spacing w:val="0"/>
                <w:sz w:val="21"/>
                <w:szCs w:val="21"/>
                <w:u w:val="none"/>
              </w:rPr>
              <w:t>要求行政机关确认或重新出具已获取信息</w:t>
            </w:r>
          </w:p>
        </w:tc>
        <w:tc>
          <w:tcPr>
            <w:tcW w:w="263" w:type="pct"/>
            <w:shd w:val="clear" w:color="auto" w:fill="FFFFFF"/>
            <w:vAlign w:val="center"/>
          </w:tcPr>
          <w:p w14:paraId="4FAE40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366" w:type="pct"/>
            <w:shd w:val="clear" w:color="auto" w:fill="FFFFFF"/>
            <w:vAlign w:val="center"/>
          </w:tcPr>
          <w:p w14:paraId="6A3A44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567" w:type="pct"/>
            <w:shd w:val="clear" w:color="auto" w:fill="FFFFFF"/>
            <w:vAlign w:val="center"/>
          </w:tcPr>
          <w:p w14:paraId="14220D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57" w:type="pct"/>
            <w:shd w:val="clear" w:color="auto" w:fill="FFFFFF"/>
            <w:vAlign w:val="center"/>
          </w:tcPr>
          <w:p w14:paraId="15B7DE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84" w:type="pct"/>
            <w:shd w:val="clear" w:color="auto" w:fill="FFFFFF"/>
            <w:vAlign w:val="center"/>
          </w:tcPr>
          <w:p w14:paraId="36B755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95" w:type="pct"/>
            <w:shd w:val="clear" w:color="auto" w:fill="FFFFFF"/>
            <w:vAlign w:val="center"/>
          </w:tcPr>
          <w:p w14:paraId="0BA1DC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76" w:type="pct"/>
            <w:shd w:val="clear" w:color="auto" w:fill="FFFFFF"/>
            <w:vAlign w:val="center"/>
          </w:tcPr>
          <w:p w14:paraId="7A68C2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r>
      <w:tr w14:paraId="4B89FB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2" w:type="pct"/>
            <w:vMerge w:val="continue"/>
            <w:shd w:val="clear" w:color="auto" w:fill="FFFFFF"/>
            <w:vAlign w:val="center"/>
          </w:tcPr>
          <w:p w14:paraId="782F28B0">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1344" w:type="pct"/>
            <w:gridSpan w:val="2"/>
            <w:shd w:val="clear" w:color="auto" w:fill="FFFFFF"/>
            <w:vAlign w:val="center"/>
          </w:tcPr>
          <w:p w14:paraId="47CBC9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（六）其他处理</w:t>
            </w:r>
          </w:p>
        </w:tc>
        <w:tc>
          <w:tcPr>
            <w:tcW w:w="263" w:type="pct"/>
            <w:shd w:val="clear" w:color="auto" w:fill="FFFFFF"/>
            <w:vAlign w:val="center"/>
          </w:tcPr>
          <w:p w14:paraId="7FA210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366" w:type="pct"/>
            <w:shd w:val="clear" w:color="auto" w:fill="FFFFFF"/>
            <w:vAlign w:val="center"/>
          </w:tcPr>
          <w:p w14:paraId="484ABA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567" w:type="pct"/>
            <w:shd w:val="clear" w:color="auto" w:fill="FFFFFF"/>
            <w:vAlign w:val="center"/>
          </w:tcPr>
          <w:p w14:paraId="29B0E9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57" w:type="pct"/>
            <w:shd w:val="clear" w:color="auto" w:fill="FFFFFF"/>
            <w:vAlign w:val="center"/>
          </w:tcPr>
          <w:p w14:paraId="33D77A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84" w:type="pct"/>
            <w:shd w:val="clear" w:color="auto" w:fill="FFFFFF"/>
            <w:vAlign w:val="center"/>
          </w:tcPr>
          <w:p w14:paraId="5BBE0D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95" w:type="pct"/>
            <w:shd w:val="clear" w:color="auto" w:fill="FFFFFF"/>
            <w:vAlign w:val="center"/>
          </w:tcPr>
          <w:p w14:paraId="3909C5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76" w:type="pct"/>
            <w:shd w:val="clear" w:color="auto" w:fill="FFFFFF"/>
            <w:vAlign w:val="center"/>
          </w:tcPr>
          <w:p w14:paraId="77E823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r>
      <w:tr w14:paraId="3659D8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42" w:type="pct"/>
            <w:vMerge w:val="continue"/>
            <w:shd w:val="clear" w:color="auto" w:fill="FFFFFF"/>
            <w:vAlign w:val="center"/>
          </w:tcPr>
          <w:p w14:paraId="056E1DF0">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1344" w:type="pct"/>
            <w:gridSpan w:val="2"/>
            <w:shd w:val="clear" w:color="auto" w:fill="FFFFFF"/>
            <w:vAlign w:val="center"/>
          </w:tcPr>
          <w:p w14:paraId="6768DD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（七）总计</w:t>
            </w:r>
          </w:p>
        </w:tc>
        <w:tc>
          <w:tcPr>
            <w:tcW w:w="263" w:type="pct"/>
            <w:shd w:val="clear" w:color="auto" w:fill="FFFFFF"/>
            <w:vAlign w:val="center"/>
          </w:tcPr>
          <w:p w14:paraId="1A0B71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i w:val="0"/>
                <w:iCs w:val="0"/>
                <w:u w:val="none"/>
                <w:lang w:val="en-US" w:eastAsia="zh-CN"/>
              </w:rPr>
            </w:pPr>
            <w:r>
              <w:rPr>
                <w:rFonts w:hint="eastAsia"/>
                <w:i w:val="0"/>
                <w:iCs w:val="0"/>
                <w:u w:val="none"/>
                <w:lang w:val="en-US" w:eastAsia="zh-CN"/>
              </w:rPr>
              <w:t>4</w:t>
            </w:r>
          </w:p>
        </w:tc>
        <w:tc>
          <w:tcPr>
            <w:tcW w:w="366" w:type="pct"/>
            <w:shd w:val="clear" w:color="auto" w:fill="FFFFFF"/>
            <w:vAlign w:val="center"/>
          </w:tcPr>
          <w:p w14:paraId="2CA8BA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567" w:type="pct"/>
            <w:shd w:val="clear" w:color="auto" w:fill="FFFFFF"/>
            <w:vAlign w:val="center"/>
          </w:tcPr>
          <w:p w14:paraId="037F53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57" w:type="pct"/>
            <w:shd w:val="clear" w:color="auto" w:fill="FFFFFF"/>
            <w:vAlign w:val="center"/>
          </w:tcPr>
          <w:p w14:paraId="40E975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84" w:type="pct"/>
            <w:shd w:val="clear" w:color="auto" w:fill="FFFFFF"/>
            <w:vAlign w:val="center"/>
          </w:tcPr>
          <w:p w14:paraId="69E9D5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i w:val="0"/>
                <w:iCs w:val="0"/>
                <w:u w:val="none"/>
                <w:lang w:val="en-US" w:eastAsia="zh-CN"/>
              </w:rPr>
            </w:pPr>
            <w:r>
              <w:rPr>
                <w:rFonts w:hint="eastAsia"/>
                <w:i w:val="0"/>
                <w:iCs w:val="0"/>
                <w:u w:val="none"/>
                <w:lang w:val="en-US" w:eastAsia="zh-CN"/>
              </w:rPr>
              <w:t>0</w:t>
            </w:r>
          </w:p>
        </w:tc>
        <w:tc>
          <w:tcPr>
            <w:tcW w:w="295" w:type="pct"/>
            <w:shd w:val="clear" w:color="auto" w:fill="FFFFFF"/>
            <w:vAlign w:val="center"/>
          </w:tcPr>
          <w:p w14:paraId="34CD70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76" w:type="pct"/>
            <w:shd w:val="clear" w:color="auto" w:fill="FFFFFF"/>
            <w:vAlign w:val="center"/>
          </w:tcPr>
          <w:p w14:paraId="66DEF6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i w:val="0"/>
                <w:iCs w:val="0"/>
                <w:u w:val="none"/>
                <w:lang w:val="en-US" w:eastAsia="zh-CN"/>
              </w:rPr>
            </w:pPr>
            <w:r>
              <w:rPr>
                <w:rFonts w:hint="eastAsia"/>
                <w:i w:val="0"/>
                <w:iCs w:val="0"/>
                <w:u w:val="none"/>
                <w:lang w:val="en-US" w:eastAsia="zh-CN"/>
              </w:rPr>
              <w:t>4</w:t>
            </w:r>
          </w:p>
        </w:tc>
      </w:tr>
      <w:tr w14:paraId="714867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889" w:type="pct"/>
            <w:gridSpan w:val="3"/>
            <w:shd w:val="clear" w:color="auto" w:fill="FFFFFF"/>
            <w:vAlign w:val="center"/>
          </w:tcPr>
          <w:p w14:paraId="48E5EB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四、结转下年度继续办理</w:t>
            </w:r>
          </w:p>
        </w:tc>
        <w:tc>
          <w:tcPr>
            <w:tcW w:w="263" w:type="pct"/>
            <w:shd w:val="clear" w:color="auto" w:fill="FFFFFF"/>
            <w:vAlign w:val="center"/>
          </w:tcPr>
          <w:p w14:paraId="0911F0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366" w:type="pct"/>
            <w:shd w:val="clear" w:color="auto" w:fill="FFFFFF"/>
            <w:vAlign w:val="center"/>
          </w:tcPr>
          <w:p w14:paraId="6A0306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567" w:type="pct"/>
            <w:shd w:val="clear" w:color="auto" w:fill="FFFFFF"/>
            <w:vAlign w:val="center"/>
          </w:tcPr>
          <w:p w14:paraId="2C6E98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57" w:type="pct"/>
            <w:shd w:val="clear" w:color="auto" w:fill="FFFFFF"/>
            <w:vAlign w:val="center"/>
          </w:tcPr>
          <w:p w14:paraId="2B38FF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684" w:type="pct"/>
            <w:shd w:val="clear" w:color="auto" w:fill="FFFFFF"/>
            <w:vAlign w:val="center"/>
          </w:tcPr>
          <w:p w14:paraId="3A79F8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95" w:type="pct"/>
            <w:shd w:val="clear" w:color="auto" w:fill="FFFFFF"/>
            <w:vAlign w:val="center"/>
          </w:tcPr>
          <w:p w14:paraId="5096E3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76" w:type="pct"/>
            <w:shd w:val="clear" w:color="auto" w:fill="FFFFFF"/>
            <w:vAlign w:val="center"/>
          </w:tcPr>
          <w:p w14:paraId="4EF49C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r>
    </w:tbl>
    <w:p w14:paraId="52B291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default" w:ascii="Arial" w:hAnsi="Arial" w:cs="Arial"/>
          <w:i w:val="0"/>
          <w:iCs w:val="0"/>
          <w:caps w:val="0"/>
          <w:color w:val="333333"/>
          <w:spacing w:val="0"/>
          <w:sz w:val="24"/>
          <w:szCs w:val="24"/>
          <w:u w:val="none"/>
        </w:rPr>
      </w:pPr>
    </w:p>
    <w:p w14:paraId="2311D7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Arial" w:hAnsi="Arial" w:cs="Arial"/>
          <w:i w:val="0"/>
          <w:iCs w:val="0"/>
          <w:caps w:val="0"/>
          <w:color w:val="333333"/>
          <w:spacing w:val="0"/>
          <w:sz w:val="24"/>
          <w:szCs w:val="24"/>
          <w:u w:val="none"/>
        </w:rPr>
      </w:pPr>
      <w:r>
        <w:rPr>
          <w:rFonts w:hint="eastAsia" w:ascii="黑体" w:hAnsi="宋体" w:eastAsia="黑体" w:cs="黑体"/>
          <w:i w:val="0"/>
          <w:iCs w:val="0"/>
          <w:caps w:val="0"/>
          <w:color w:val="333333"/>
          <w:spacing w:val="0"/>
          <w:sz w:val="32"/>
          <w:szCs w:val="32"/>
          <w:u w:val="none"/>
          <w:shd w:val="clear" w:fill="FFFFFF"/>
        </w:rPr>
        <w:t>四、政府信息公开行政复议、行政诉讼情况</w:t>
      </w:r>
    </w:p>
    <w:tbl>
      <w:tblPr>
        <w:tblStyle w:val="4"/>
        <w:tblW w:w="5000"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03"/>
        <w:gridCol w:w="603"/>
        <w:gridCol w:w="603"/>
        <w:gridCol w:w="603"/>
        <w:gridCol w:w="361"/>
        <w:gridCol w:w="604"/>
        <w:gridCol w:w="604"/>
        <w:gridCol w:w="604"/>
        <w:gridCol w:w="604"/>
        <w:gridCol w:w="362"/>
        <w:gridCol w:w="604"/>
        <w:gridCol w:w="604"/>
        <w:gridCol w:w="604"/>
        <w:gridCol w:w="604"/>
        <w:gridCol w:w="369"/>
      </w:tblGrid>
      <w:tr w14:paraId="3F3310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665" w:type="pct"/>
            <w:gridSpan w:val="5"/>
            <w:shd w:val="clear" w:color="auto" w:fill="FFFFFF"/>
            <w:vAlign w:val="center"/>
          </w:tcPr>
          <w:p w14:paraId="08627B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行政复议</w:t>
            </w:r>
          </w:p>
        </w:tc>
        <w:tc>
          <w:tcPr>
            <w:tcW w:w="3334" w:type="pct"/>
            <w:gridSpan w:val="10"/>
            <w:shd w:val="clear" w:color="auto" w:fill="FFFFFF"/>
            <w:vAlign w:val="center"/>
          </w:tcPr>
          <w:p w14:paraId="19D745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行政诉讼</w:t>
            </w:r>
          </w:p>
        </w:tc>
      </w:tr>
      <w:tr w14:paraId="39DC9F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62" w:type="pct"/>
            <w:vMerge w:val="restart"/>
            <w:shd w:val="clear" w:color="auto" w:fill="FFFFFF"/>
            <w:vAlign w:val="center"/>
          </w:tcPr>
          <w:p w14:paraId="2A1D7D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结果维持</w:t>
            </w:r>
          </w:p>
        </w:tc>
        <w:tc>
          <w:tcPr>
            <w:tcW w:w="362" w:type="pct"/>
            <w:vMerge w:val="restart"/>
            <w:shd w:val="clear" w:color="auto" w:fill="FFFFFF"/>
            <w:vAlign w:val="center"/>
          </w:tcPr>
          <w:p w14:paraId="714D4A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结果纠正</w:t>
            </w:r>
          </w:p>
        </w:tc>
        <w:tc>
          <w:tcPr>
            <w:tcW w:w="362" w:type="pct"/>
            <w:vMerge w:val="restart"/>
            <w:shd w:val="clear" w:color="auto" w:fill="FFFFFF"/>
            <w:vAlign w:val="center"/>
          </w:tcPr>
          <w:p w14:paraId="2BB306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其他结果</w:t>
            </w:r>
          </w:p>
        </w:tc>
        <w:tc>
          <w:tcPr>
            <w:tcW w:w="362" w:type="pct"/>
            <w:vMerge w:val="restart"/>
            <w:shd w:val="clear" w:color="auto" w:fill="FFFFFF"/>
            <w:vAlign w:val="center"/>
          </w:tcPr>
          <w:p w14:paraId="146B6E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尚未审结</w:t>
            </w:r>
          </w:p>
        </w:tc>
        <w:tc>
          <w:tcPr>
            <w:tcW w:w="216" w:type="pct"/>
            <w:vMerge w:val="restart"/>
            <w:shd w:val="clear" w:color="auto" w:fill="FFFFFF"/>
            <w:vAlign w:val="center"/>
          </w:tcPr>
          <w:p w14:paraId="1ED880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总计</w:t>
            </w:r>
          </w:p>
        </w:tc>
        <w:tc>
          <w:tcPr>
            <w:tcW w:w="1665" w:type="pct"/>
            <w:gridSpan w:val="5"/>
            <w:shd w:val="clear" w:color="auto" w:fill="FFFFFF"/>
            <w:vAlign w:val="center"/>
          </w:tcPr>
          <w:p w14:paraId="1754E4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未经复议直接起诉</w:t>
            </w:r>
          </w:p>
        </w:tc>
        <w:tc>
          <w:tcPr>
            <w:tcW w:w="1668" w:type="pct"/>
            <w:gridSpan w:val="5"/>
            <w:shd w:val="clear" w:color="auto" w:fill="FFFFFF"/>
            <w:vAlign w:val="center"/>
          </w:tcPr>
          <w:p w14:paraId="5050AA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复议后起诉</w:t>
            </w:r>
          </w:p>
        </w:tc>
      </w:tr>
      <w:tr w14:paraId="56891F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62" w:type="pct"/>
            <w:vMerge w:val="continue"/>
            <w:shd w:val="clear" w:color="auto" w:fill="FFFFFF"/>
            <w:vAlign w:val="center"/>
          </w:tcPr>
          <w:p w14:paraId="65C29A08">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362" w:type="pct"/>
            <w:vMerge w:val="continue"/>
            <w:shd w:val="clear" w:color="auto" w:fill="FFFFFF"/>
            <w:vAlign w:val="center"/>
          </w:tcPr>
          <w:p w14:paraId="3B8854BB">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362" w:type="pct"/>
            <w:vMerge w:val="continue"/>
            <w:shd w:val="clear" w:color="auto" w:fill="FFFFFF"/>
            <w:vAlign w:val="center"/>
          </w:tcPr>
          <w:p w14:paraId="418AC959">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362" w:type="pct"/>
            <w:vMerge w:val="continue"/>
            <w:shd w:val="clear" w:color="auto" w:fill="FFFFFF"/>
            <w:vAlign w:val="center"/>
          </w:tcPr>
          <w:p w14:paraId="156990CD">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216" w:type="pct"/>
            <w:vMerge w:val="continue"/>
            <w:shd w:val="clear" w:color="auto" w:fill="FFFFFF"/>
            <w:vAlign w:val="center"/>
          </w:tcPr>
          <w:p w14:paraId="16B2A659">
            <w:pPr>
              <w:keepNext w:val="0"/>
              <w:keepLines w:val="0"/>
              <w:pageBreakBefore w:val="0"/>
              <w:kinsoku/>
              <w:wordWrap/>
              <w:overflowPunct/>
              <w:topLinePunct w:val="0"/>
              <w:autoSpaceDE/>
              <w:autoSpaceDN/>
              <w:bidi w:val="0"/>
              <w:adjustRightInd/>
              <w:snapToGrid/>
              <w:spacing w:before="0" w:line="560" w:lineRule="exact"/>
              <w:jc w:val="center"/>
              <w:textAlignment w:val="auto"/>
              <w:rPr>
                <w:rFonts w:hint="default" w:ascii="Arial" w:hAnsi="Arial" w:cs="Arial"/>
                <w:i w:val="0"/>
                <w:iCs w:val="0"/>
                <w:caps w:val="0"/>
                <w:color w:val="333333"/>
                <w:spacing w:val="0"/>
                <w:sz w:val="24"/>
                <w:szCs w:val="24"/>
                <w:u w:val="none"/>
              </w:rPr>
            </w:pPr>
          </w:p>
        </w:tc>
        <w:tc>
          <w:tcPr>
            <w:tcW w:w="362" w:type="pct"/>
            <w:shd w:val="clear" w:color="auto" w:fill="FFFFFF"/>
            <w:vAlign w:val="center"/>
          </w:tcPr>
          <w:p w14:paraId="6B19E8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结果维持</w:t>
            </w:r>
          </w:p>
        </w:tc>
        <w:tc>
          <w:tcPr>
            <w:tcW w:w="362" w:type="pct"/>
            <w:shd w:val="clear" w:color="auto" w:fill="FFFFFF"/>
            <w:vAlign w:val="center"/>
          </w:tcPr>
          <w:p w14:paraId="308B4E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结果纠正</w:t>
            </w:r>
          </w:p>
        </w:tc>
        <w:tc>
          <w:tcPr>
            <w:tcW w:w="362" w:type="pct"/>
            <w:shd w:val="clear" w:color="auto" w:fill="FFFFFF"/>
            <w:vAlign w:val="center"/>
          </w:tcPr>
          <w:p w14:paraId="4BC83E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其他结果</w:t>
            </w:r>
          </w:p>
        </w:tc>
        <w:tc>
          <w:tcPr>
            <w:tcW w:w="362" w:type="pct"/>
            <w:shd w:val="clear" w:color="auto" w:fill="FFFFFF"/>
            <w:vAlign w:val="center"/>
          </w:tcPr>
          <w:p w14:paraId="09EB74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尚未审结</w:t>
            </w:r>
          </w:p>
        </w:tc>
        <w:tc>
          <w:tcPr>
            <w:tcW w:w="216" w:type="pct"/>
            <w:shd w:val="clear" w:color="auto" w:fill="FFFFFF"/>
            <w:vAlign w:val="center"/>
          </w:tcPr>
          <w:p w14:paraId="54E84D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总计</w:t>
            </w:r>
          </w:p>
        </w:tc>
        <w:tc>
          <w:tcPr>
            <w:tcW w:w="362" w:type="pct"/>
            <w:shd w:val="clear" w:color="auto" w:fill="FFFFFF"/>
            <w:vAlign w:val="center"/>
          </w:tcPr>
          <w:p w14:paraId="7F1116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结果维持</w:t>
            </w:r>
          </w:p>
        </w:tc>
        <w:tc>
          <w:tcPr>
            <w:tcW w:w="362" w:type="pct"/>
            <w:shd w:val="clear" w:color="auto" w:fill="FFFFFF"/>
            <w:vAlign w:val="center"/>
          </w:tcPr>
          <w:p w14:paraId="49089D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结果纠正</w:t>
            </w:r>
          </w:p>
        </w:tc>
        <w:tc>
          <w:tcPr>
            <w:tcW w:w="362" w:type="pct"/>
            <w:shd w:val="clear" w:color="auto" w:fill="FFFFFF"/>
            <w:vAlign w:val="center"/>
          </w:tcPr>
          <w:p w14:paraId="35D45F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其他结果</w:t>
            </w:r>
          </w:p>
        </w:tc>
        <w:tc>
          <w:tcPr>
            <w:tcW w:w="362" w:type="pct"/>
            <w:shd w:val="clear" w:color="auto" w:fill="FFFFFF"/>
            <w:vAlign w:val="center"/>
          </w:tcPr>
          <w:p w14:paraId="463D39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尚未审结</w:t>
            </w:r>
          </w:p>
        </w:tc>
        <w:tc>
          <w:tcPr>
            <w:tcW w:w="217" w:type="pct"/>
            <w:shd w:val="clear" w:color="auto" w:fill="FFFFFF"/>
            <w:vAlign w:val="center"/>
          </w:tcPr>
          <w:p w14:paraId="029E40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eastAsia" w:ascii="宋体" w:hAnsi="宋体" w:eastAsia="宋体" w:cs="宋体"/>
                <w:i w:val="0"/>
                <w:iCs w:val="0"/>
                <w:caps w:val="0"/>
                <w:color w:val="333333"/>
                <w:spacing w:val="0"/>
                <w:sz w:val="21"/>
                <w:szCs w:val="21"/>
                <w:u w:val="none"/>
              </w:rPr>
              <w:t>总计</w:t>
            </w:r>
          </w:p>
        </w:tc>
      </w:tr>
      <w:tr w14:paraId="138DB5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62" w:type="pct"/>
            <w:shd w:val="clear" w:color="auto" w:fill="FFFFFF"/>
            <w:vAlign w:val="center"/>
          </w:tcPr>
          <w:p w14:paraId="576E0C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i w:val="0"/>
                <w:iCs w:val="0"/>
                <w:u w:val="none"/>
                <w:lang w:val="en-US" w:eastAsia="zh-CN"/>
              </w:rPr>
            </w:pPr>
            <w:r>
              <w:rPr>
                <w:rFonts w:hint="eastAsia"/>
                <w:i w:val="0"/>
                <w:iCs w:val="0"/>
                <w:u w:val="none"/>
                <w:lang w:val="en-US" w:eastAsia="zh-CN"/>
              </w:rPr>
              <w:t>1</w:t>
            </w:r>
          </w:p>
        </w:tc>
        <w:tc>
          <w:tcPr>
            <w:tcW w:w="362" w:type="pct"/>
            <w:shd w:val="clear" w:color="auto" w:fill="FFFFFF"/>
            <w:vAlign w:val="center"/>
          </w:tcPr>
          <w:p w14:paraId="0B6844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362" w:type="pct"/>
            <w:shd w:val="clear" w:color="auto" w:fill="FFFFFF"/>
            <w:vAlign w:val="center"/>
          </w:tcPr>
          <w:p w14:paraId="3446A5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i w:val="0"/>
                <w:iCs w:val="0"/>
                <w:u w:val="none"/>
                <w:lang w:val="en-US" w:eastAsia="zh-CN"/>
              </w:rPr>
            </w:pPr>
            <w:r>
              <w:rPr>
                <w:rFonts w:hint="eastAsia"/>
                <w:i w:val="0"/>
                <w:iCs w:val="0"/>
                <w:u w:val="none"/>
                <w:lang w:val="en-US" w:eastAsia="zh-CN"/>
              </w:rPr>
              <w:t>1</w:t>
            </w:r>
          </w:p>
        </w:tc>
        <w:tc>
          <w:tcPr>
            <w:tcW w:w="362" w:type="pct"/>
            <w:shd w:val="clear" w:color="auto" w:fill="FFFFFF"/>
            <w:vAlign w:val="center"/>
          </w:tcPr>
          <w:p w14:paraId="54B0D5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16" w:type="pct"/>
            <w:shd w:val="clear" w:color="auto" w:fill="FFFFFF"/>
            <w:vAlign w:val="center"/>
          </w:tcPr>
          <w:p w14:paraId="4DA280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i w:val="0"/>
                <w:iCs w:val="0"/>
                <w:u w:val="none"/>
                <w:lang w:val="en-US" w:eastAsia="zh-CN"/>
              </w:rPr>
            </w:pPr>
            <w:r>
              <w:rPr>
                <w:rFonts w:hint="eastAsia"/>
                <w:i w:val="0"/>
                <w:iCs w:val="0"/>
                <w:u w:val="none"/>
                <w:lang w:val="en-US" w:eastAsia="zh-CN"/>
              </w:rPr>
              <w:t>2</w:t>
            </w:r>
          </w:p>
        </w:tc>
        <w:tc>
          <w:tcPr>
            <w:tcW w:w="362" w:type="pct"/>
            <w:shd w:val="clear" w:color="auto" w:fill="FFFFFF"/>
            <w:vAlign w:val="center"/>
          </w:tcPr>
          <w:p w14:paraId="6A9E56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362" w:type="pct"/>
            <w:shd w:val="clear" w:color="auto" w:fill="FFFFFF"/>
            <w:vAlign w:val="center"/>
          </w:tcPr>
          <w:p w14:paraId="697C76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362" w:type="pct"/>
            <w:shd w:val="clear" w:color="auto" w:fill="FFFFFF"/>
            <w:vAlign w:val="center"/>
          </w:tcPr>
          <w:p w14:paraId="7A939A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362" w:type="pct"/>
            <w:shd w:val="clear" w:color="auto" w:fill="FFFFFF"/>
            <w:vAlign w:val="center"/>
          </w:tcPr>
          <w:p w14:paraId="7C8141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16" w:type="pct"/>
            <w:shd w:val="clear" w:color="auto" w:fill="FFFFFF"/>
            <w:vAlign w:val="center"/>
          </w:tcPr>
          <w:p w14:paraId="7BB959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362" w:type="pct"/>
            <w:shd w:val="clear" w:color="auto" w:fill="FFFFFF"/>
            <w:vAlign w:val="center"/>
          </w:tcPr>
          <w:p w14:paraId="000805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362" w:type="pct"/>
            <w:shd w:val="clear" w:color="auto" w:fill="FFFFFF"/>
            <w:vAlign w:val="center"/>
          </w:tcPr>
          <w:p w14:paraId="2CD04D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362" w:type="pct"/>
            <w:shd w:val="clear" w:color="auto" w:fill="FFFFFF"/>
            <w:vAlign w:val="center"/>
          </w:tcPr>
          <w:p w14:paraId="7026CE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362" w:type="pct"/>
            <w:shd w:val="clear" w:color="auto" w:fill="FFFFFF"/>
            <w:vAlign w:val="center"/>
          </w:tcPr>
          <w:p w14:paraId="0FDE04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c>
          <w:tcPr>
            <w:tcW w:w="217" w:type="pct"/>
            <w:shd w:val="clear" w:color="auto" w:fill="FFFFFF"/>
            <w:vAlign w:val="center"/>
          </w:tcPr>
          <w:p w14:paraId="608D87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i w:val="0"/>
                <w:iCs w:val="0"/>
                <w:u w:val="none"/>
              </w:rPr>
            </w:pPr>
            <w:r>
              <w:rPr>
                <w:rFonts w:hint="default" w:ascii="Calibri" w:hAnsi="Calibri" w:eastAsia="Calibri" w:cs="Calibri"/>
                <w:i w:val="0"/>
                <w:iCs w:val="0"/>
                <w:caps w:val="0"/>
                <w:color w:val="333333"/>
                <w:spacing w:val="0"/>
                <w:sz w:val="21"/>
                <w:szCs w:val="21"/>
                <w:u w:val="none"/>
              </w:rPr>
              <w:t>0</w:t>
            </w:r>
          </w:p>
        </w:tc>
      </w:tr>
    </w:tbl>
    <w:p w14:paraId="52FE34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p>
    <w:p w14:paraId="4F94AE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14:paraId="4203C6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2024年，政府信息公开工作取得了明显成效，也存在一些问题和不足，主要表现</w:t>
      </w:r>
      <w:r>
        <w:rPr>
          <w:rFonts w:hint="eastAsia" w:ascii="仿宋" w:hAnsi="仿宋" w:eastAsia="仿宋" w:cs="仿宋"/>
          <w:sz w:val="32"/>
          <w:szCs w:val="32"/>
          <w:lang w:eastAsia="zh-CN"/>
        </w:rPr>
        <w:t>信息公开的范围有待进一步拓宽；公开内容的及时性、</w:t>
      </w:r>
      <w:r>
        <w:rPr>
          <w:rFonts w:hint="eastAsia" w:ascii="仿宋" w:hAnsi="仿宋" w:eastAsia="仿宋" w:cs="仿宋"/>
          <w:sz w:val="32"/>
          <w:szCs w:val="32"/>
        </w:rPr>
        <w:t>具体性有待增强。</w:t>
      </w:r>
    </w:p>
    <w:p w14:paraId="19AC0C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2025年，</w:t>
      </w:r>
      <w:r>
        <w:rPr>
          <w:rFonts w:hint="eastAsia" w:ascii="仿宋" w:hAnsi="仿宋" w:eastAsia="仿宋" w:cs="仿宋"/>
          <w:sz w:val="32"/>
          <w:szCs w:val="32"/>
          <w:lang w:eastAsia="zh-CN"/>
        </w:rPr>
        <w:t>我们</w:t>
      </w:r>
      <w:r>
        <w:rPr>
          <w:rFonts w:hint="eastAsia" w:ascii="仿宋" w:hAnsi="仿宋" w:eastAsia="仿宋" w:cs="仿宋"/>
          <w:sz w:val="32"/>
          <w:szCs w:val="32"/>
        </w:rPr>
        <w:t>坚持以习近平新时代中国特色社会主义思想为指导，</w:t>
      </w:r>
      <w:r>
        <w:rPr>
          <w:rFonts w:hint="eastAsia" w:ascii="仿宋" w:hAnsi="仿宋" w:eastAsia="仿宋" w:cs="仿宋"/>
          <w:sz w:val="32"/>
          <w:szCs w:val="32"/>
          <w:lang w:eastAsia="zh-CN"/>
        </w:rPr>
        <w:t>致力于全面深化政府信息公开工作。</w:t>
      </w:r>
      <w:r>
        <w:rPr>
          <w:rFonts w:hint="eastAsia" w:ascii="仿宋" w:hAnsi="仿宋" w:eastAsia="仿宋" w:cs="仿宋"/>
          <w:b/>
          <w:bCs/>
          <w:sz w:val="32"/>
          <w:szCs w:val="32"/>
          <w:lang w:eastAsia="zh-CN"/>
        </w:rPr>
        <w:t>一是加大</w:t>
      </w:r>
      <w:r>
        <w:rPr>
          <w:rFonts w:hint="eastAsia" w:ascii="仿宋" w:hAnsi="仿宋" w:eastAsia="仿宋" w:cs="仿宋"/>
          <w:b/>
          <w:bCs/>
          <w:sz w:val="32"/>
          <w:szCs w:val="32"/>
        </w:rPr>
        <w:t>重点领域信息公开</w:t>
      </w:r>
      <w:r>
        <w:rPr>
          <w:rFonts w:hint="eastAsia" w:ascii="仿宋" w:hAnsi="仿宋" w:eastAsia="仿宋" w:cs="仿宋"/>
          <w:b/>
          <w:bCs/>
          <w:sz w:val="32"/>
          <w:szCs w:val="32"/>
          <w:lang w:eastAsia="zh-CN"/>
        </w:rPr>
        <w:t>。</w:t>
      </w:r>
      <w:r>
        <w:rPr>
          <w:rFonts w:hint="eastAsia" w:ascii="仿宋" w:hAnsi="仿宋" w:eastAsia="仿宋" w:cs="仿宋"/>
          <w:sz w:val="32"/>
          <w:szCs w:val="32"/>
        </w:rPr>
        <w:t>围绕经济高质量发展、优化营商环境、民生保障等重点领域，及时公开重大建设项目、公共资源配置、社会公共事业等领域信息，以及涉及群众切身利益的重大事项决策过程及结果。</w:t>
      </w:r>
      <w:r>
        <w:rPr>
          <w:rFonts w:hint="eastAsia" w:ascii="仿宋" w:hAnsi="仿宋" w:eastAsia="仿宋" w:cs="仿宋"/>
          <w:b/>
          <w:bCs/>
          <w:sz w:val="32"/>
          <w:szCs w:val="32"/>
          <w:lang w:eastAsia="zh-CN"/>
        </w:rPr>
        <w:t>二是</w:t>
      </w:r>
      <w:r>
        <w:rPr>
          <w:rFonts w:hint="eastAsia" w:ascii="仿宋" w:hAnsi="仿宋" w:eastAsia="仿宋" w:cs="仿宋"/>
          <w:b/>
          <w:bCs/>
          <w:sz w:val="32"/>
          <w:szCs w:val="32"/>
        </w:rPr>
        <w:t>加强政策解读和回应关切</w:t>
      </w:r>
      <w:r>
        <w:rPr>
          <w:rFonts w:hint="eastAsia" w:ascii="仿宋" w:hAnsi="仿宋" w:eastAsia="仿宋" w:cs="仿宋"/>
          <w:b/>
          <w:bCs/>
          <w:sz w:val="32"/>
          <w:szCs w:val="32"/>
          <w:lang w:eastAsia="zh-CN"/>
        </w:rPr>
        <w:t>。</w:t>
      </w:r>
      <w:r>
        <w:rPr>
          <w:rFonts w:hint="eastAsia" w:ascii="仿宋" w:hAnsi="仿宋" w:eastAsia="仿宋" w:cs="仿宋"/>
          <w:sz w:val="32"/>
          <w:szCs w:val="32"/>
        </w:rPr>
        <w:t>对重要政策文件及时进行解读宣传</w:t>
      </w:r>
      <w:r>
        <w:rPr>
          <w:rFonts w:hint="eastAsia" w:ascii="仿宋" w:hAnsi="仿宋" w:eastAsia="仿宋" w:cs="仿宋"/>
          <w:sz w:val="32"/>
          <w:szCs w:val="32"/>
          <w:lang w:eastAsia="zh-CN"/>
        </w:rPr>
        <w:t>，</w:t>
      </w:r>
      <w:r>
        <w:rPr>
          <w:rFonts w:hint="eastAsia" w:ascii="仿宋" w:hAnsi="仿宋" w:eastAsia="仿宋" w:cs="仿宋"/>
          <w:sz w:val="32"/>
          <w:szCs w:val="32"/>
        </w:rPr>
        <w:t>回应社会关切，确保政策精准传递。</w:t>
      </w:r>
      <w:r>
        <w:rPr>
          <w:rFonts w:hint="eastAsia" w:ascii="仿宋" w:hAnsi="仿宋" w:eastAsia="仿宋" w:cs="仿宋"/>
          <w:b/>
          <w:bCs/>
          <w:sz w:val="32"/>
          <w:szCs w:val="32"/>
          <w:lang w:eastAsia="zh-CN"/>
        </w:rPr>
        <w:t>三是</w:t>
      </w:r>
      <w:r>
        <w:rPr>
          <w:rFonts w:hint="eastAsia" w:ascii="仿宋" w:hAnsi="仿宋" w:eastAsia="仿宋" w:cs="仿宋"/>
          <w:b/>
          <w:bCs/>
          <w:sz w:val="32"/>
          <w:szCs w:val="32"/>
        </w:rPr>
        <w:t>完善信息公开渠道</w:t>
      </w:r>
      <w:r>
        <w:rPr>
          <w:rFonts w:hint="eastAsia" w:ascii="仿宋" w:hAnsi="仿宋" w:eastAsia="仿宋" w:cs="仿宋"/>
          <w:b/>
          <w:bCs/>
          <w:sz w:val="32"/>
          <w:szCs w:val="32"/>
          <w:lang w:eastAsia="zh-CN"/>
        </w:rPr>
        <w:t>。</w:t>
      </w:r>
      <w:r>
        <w:rPr>
          <w:rFonts w:hint="eastAsia" w:ascii="仿宋" w:hAnsi="仿宋" w:eastAsia="仿宋" w:cs="仿宋"/>
          <w:sz w:val="32"/>
          <w:szCs w:val="32"/>
        </w:rPr>
        <w:t>充分发挥政府门户网站作用，丰富网站内容，利用政务新媒体平台，拓宽政府信息公开渠道。</w:t>
      </w:r>
    </w:p>
    <w:p w14:paraId="088655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14:paraId="14FB04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年度未收取政府信息公开信息处理费。</w:t>
      </w:r>
    </w:p>
    <w:p w14:paraId="1CD2F9C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14:paraId="2DF6873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35271F8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14:paraId="0DF94CC8">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仿宋" w:hAnsi="仿宋" w:eastAsia="仿宋" w:cs="仿宋"/>
          <w:sz w:val="32"/>
          <w:szCs w:val="32"/>
        </w:rPr>
      </w:pPr>
      <w:r>
        <w:rPr>
          <w:rFonts w:hint="eastAsia" w:ascii="仿宋" w:hAnsi="仿宋" w:eastAsia="仿宋" w:cs="仿宋"/>
          <w:sz w:val="32"/>
          <w:szCs w:val="32"/>
        </w:rPr>
        <w:t>绛县人民政府</w:t>
      </w:r>
    </w:p>
    <w:p w14:paraId="0D3A8CBD">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 w:hAnsi="仿宋" w:eastAsia="仿宋" w:cs="仿宋"/>
          <w:sz w:val="32"/>
          <w:szCs w:val="32"/>
        </w:rPr>
      </w:pPr>
      <w:r>
        <w:rPr>
          <w:rFonts w:hint="eastAsia" w:ascii="仿宋" w:hAnsi="仿宋" w:eastAsia="仿宋" w:cs="仿宋"/>
          <w:sz w:val="32"/>
          <w:szCs w:val="32"/>
        </w:rPr>
        <w:t>2024年2月20日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70C00"/>
    <w:rsid w:val="0FF3288D"/>
    <w:rsid w:val="1C5F19D6"/>
    <w:rsid w:val="1E0D5462"/>
    <w:rsid w:val="27194E78"/>
    <w:rsid w:val="2F364819"/>
    <w:rsid w:val="3CB7061B"/>
    <w:rsid w:val="42133F79"/>
    <w:rsid w:val="4F02606E"/>
    <w:rsid w:val="4F9A2425"/>
    <w:rsid w:val="5D885B0D"/>
    <w:rsid w:val="5ED70C00"/>
    <w:rsid w:val="5FB05672"/>
    <w:rsid w:val="66C832A1"/>
    <w:rsid w:val="672209F6"/>
    <w:rsid w:val="6A496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647</Words>
  <Characters>703</Characters>
  <Lines>0</Lines>
  <Paragraphs>0</Paragraphs>
  <TotalTime>257</TotalTime>
  <ScaleCrop>false</ScaleCrop>
  <LinksUpToDate>false</LinksUpToDate>
  <CharactersWithSpaces>703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2025-02-17T03:41:00Z</dcterms:created>
  <dc:creator>小打小闹</dc:creator>
  <cp:lastModifiedBy>小打小闹</cp:lastModifiedBy>
  <cp:lastPrinted>2025-02-20T07:01:00Z</cp:lastPrinted>
  <dcterms:modified xsi:type="dcterms:W3CDTF">2025-02-21T03:32:07Z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866059E0AA01479DBC5D8C4895D96825_13</vt:lpwstr>
  </property>
  <property fmtid="{D5CDD505-2E9C-101B-9397-08002B2CF9AE}" pid="4" name="KSOTemplateDocerSaveRecord">
    <vt:lpwstr>eyJoZGlkIjoiODQ0OGNhY2ZkMzdjYzhlNTZhNTMxYWVmNmI0YTMxNDUiLCJ1c2VySWQiOiI0NjI0Mjg3MDYifQ==</vt:lpwstr>
  </property>
</Properties>
</file>